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F6C6D" w14:textId="77777777" w:rsidR="004C1092" w:rsidRPr="007B6888" w:rsidRDefault="004C1092" w:rsidP="007C6AC2">
      <w:pPr>
        <w:pStyle w:val="Title"/>
        <w:spacing w:after="120" w:line="240" w:lineRule="auto"/>
        <w:jc w:val="left"/>
        <w:rPr>
          <w:sz w:val="24"/>
          <w:szCs w:val="24"/>
        </w:rPr>
      </w:pPr>
    </w:p>
    <w:p w14:paraId="39FCDFA5" w14:textId="250346D5" w:rsidR="0064777F" w:rsidRPr="007B6888" w:rsidRDefault="0064777F" w:rsidP="007C6AC2">
      <w:pPr>
        <w:pStyle w:val="Title"/>
        <w:spacing w:after="120" w:line="240" w:lineRule="auto"/>
        <w:rPr>
          <w:sz w:val="24"/>
          <w:szCs w:val="24"/>
        </w:rPr>
      </w:pPr>
      <w:r w:rsidRPr="007B6888">
        <w:rPr>
          <w:sz w:val="24"/>
          <w:szCs w:val="24"/>
        </w:rPr>
        <w:t>NOTĂ DE FUNDAMENTARE</w:t>
      </w:r>
    </w:p>
    <w:p w14:paraId="1CA3C7C8" w14:textId="77777777" w:rsidR="00983417" w:rsidRPr="007B6888" w:rsidRDefault="00983417" w:rsidP="007C6AC2">
      <w:pPr>
        <w:pStyle w:val="Title"/>
        <w:spacing w:after="120" w:line="240" w:lineRule="auto"/>
        <w:rPr>
          <w:sz w:val="24"/>
          <w:szCs w:val="24"/>
        </w:rPr>
      </w:pPr>
    </w:p>
    <w:p w14:paraId="0448C4F0" w14:textId="42589059" w:rsidR="00223491" w:rsidRPr="007B6888" w:rsidRDefault="00223491" w:rsidP="000B12C8">
      <w:pPr>
        <w:pStyle w:val="Title"/>
        <w:spacing w:line="240" w:lineRule="auto"/>
        <w:ind w:firstLine="720"/>
        <w:rPr>
          <w:sz w:val="24"/>
          <w:szCs w:val="24"/>
        </w:rPr>
      </w:pPr>
      <w:r w:rsidRPr="007B6888">
        <w:rPr>
          <w:sz w:val="24"/>
          <w:szCs w:val="24"/>
        </w:rPr>
        <w:t>Secțiunea 1</w:t>
      </w:r>
    </w:p>
    <w:p w14:paraId="78C75447" w14:textId="76B7EDCC" w:rsidR="00223491" w:rsidRPr="007B6888" w:rsidRDefault="00223491" w:rsidP="000B12C8">
      <w:pPr>
        <w:pStyle w:val="Title"/>
        <w:spacing w:after="120" w:line="240" w:lineRule="auto"/>
        <w:ind w:firstLine="720"/>
        <w:rPr>
          <w:sz w:val="24"/>
          <w:szCs w:val="24"/>
        </w:rPr>
      </w:pPr>
      <w:r w:rsidRPr="007B6888">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7B6888" w14:paraId="117C71DD" w14:textId="77777777" w:rsidTr="00223491">
        <w:tc>
          <w:tcPr>
            <w:tcW w:w="10490" w:type="dxa"/>
          </w:tcPr>
          <w:p w14:paraId="338F09EC" w14:textId="11FC8256" w:rsidR="00084688" w:rsidRPr="001E5514" w:rsidRDefault="001E5514" w:rsidP="001E5514">
            <w:pPr>
              <w:spacing w:after="120"/>
              <w:jc w:val="both"/>
              <w:rPr>
                <w:rFonts w:eastAsia="Verdana"/>
                <w:b/>
                <w:color w:val="000000" w:themeColor="text1"/>
                <w:lang w:eastAsia="ro-RO"/>
              </w:rPr>
            </w:pPr>
            <w:r w:rsidRPr="001E5514">
              <w:rPr>
                <w:rFonts w:eastAsiaTheme="minorHAnsi"/>
                <w:b/>
                <w:lang w:eastAsia="ro-RO"/>
              </w:rPr>
              <w:t xml:space="preserve">Ordonanță de </w:t>
            </w:r>
            <w:r w:rsidR="00882C19" w:rsidRPr="001E5514">
              <w:rPr>
                <w:rFonts w:eastAsiaTheme="minorHAnsi"/>
                <w:b/>
                <w:lang w:eastAsia="ro-RO"/>
              </w:rPr>
              <w:t>urgență</w:t>
            </w:r>
            <w:r w:rsidRPr="001E5514">
              <w:rPr>
                <w:rFonts w:eastAsiaTheme="minorHAnsi"/>
                <w:b/>
                <w:lang w:eastAsia="ro-RO"/>
              </w:rPr>
              <w:t xml:space="preserve"> pentru modificarea și completarea</w:t>
            </w:r>
            <w:r w:rsidR="00406E45">
              <w:rPr>
                <w:rFonts w:eastAsiaTheme="minorHAnsi"/>
                <w:b/>
                <w:lang w:eastAsia="ro-RO"/>
              </w:rPr>
              <w:t xml:space="preserve"> </w:t>
            </w:r>
            <w:r w:rsidRPr="001E5514">
              <w:rPr>
                <w:rFonts w:eastAsiaTheme="minorHAnsi"/>
                <w:b/>
                <w:lang w:eastAsia="ro-RO"/>
              </w:rPr>
              <w:t xml:space="preserve">Ordonanței de Urgență a Guvernului nr. 66 /2011  privind prevenirea, constatarea şi </w:t>
            </w:r>
            <w:r w:rsidR="00473D2E" w:rsidRPr="001E5514">
              <w:rPr>
                <w:rFonts w:eastAsiaTheme="minorHAnsi"/>
                <w:b/>
                <w:lang w:eastAsia="ro-RO"/>
              </w:rPr>
              <w:t>sancționarea</w:t>
            </w:r>
            <w:r w:rsidRPr="001E5514">
              <w:rPr>
                <w:rFonts w:eastAsiaTheme="minorHAnsi"/>
                <w:b/>
                <w:lang w:eastAsia="ro-RO"/>
              </w:rPr>
              <w:t xml:space="preserve">  neregulilor apărute în </w:t>
            </w:r>
            <w:r w:rsidR="00473D2E" w:rsidRPr="001E5514">
              <w:rPr>
                <w:rFonts w:eastAsiaTheme="minorHAnsi"/>
                <w:b/>
                <w:lang w:eastAsia="ro-RO"/>
              </w:rPr>
              <w:t>obținerea</w:t>
            </w:r>
            <w:r w:rsidRPr="001E5514">
              <w:rPr>
                <w:rFonts w:eastAsiaTheme="minorHAnsi"/>
                <w:b/>
                <w:lang w:eastAsia="ro-RO"/>
              </w:rPr>
              <w:t xml:space="preserve"> şi utilizarea fondurilor europene şi/sau a fondurilor publice </w:t>
            </w:r>
            <w:r w:rsidR="00473D2E" w:rsidRPr="001E5514">
              <w:rPr>
                <w:rFonts w:eastAsiaTheme="minorHAnsi"/>
                <w:b/>
                <w:lang w:eastAsia="ro-RO"/>
              </w:rPr>
              <w:t>naționale</w:t>
            </w:r>
            <w:r w:rsidRPr="001E5514">
              <w:rPr>
                <w:rFonts w:eastAsiaTheme="minorHAnsi"/>
                <w:b/>
                <w:lang w:eastAsia="ro-RO"/>
              </w:rPr>
              <w:t xml:space="preserve"> aferente acestora</w:t>
            </w:r>
          </w:p>
        </w:tc>
      </w:tr>
    </w:tbl>
    <w:p w14:paraId="2CE089BE" w14:textId="7BDFBE6D" w:rsidR="00BC6BCA" w:rsidRPr="007B6888" w:rsidRDefault="00BC6BCA" w:rsidP="007C6AC2">
      <w:pPr>
        <w:spacing w:after="120"/>
        <w:rPr>
          <w:b/>
          <w:lang w:eastAsia="ro-RO"/>
        </w:rPr>
      </w:pPr>
    </w:p>
    <w:p w14:paraId="33C1CD30" w14:textId="4FAF6130" w:rsidR="00223491" w:rsidRPr="007B6888" w:rsidRDefault="00C5468F" w:rsidP="000B12C8">
      <w:pPr>
        <w:ind w:firstLine="720"/>
        <w:jc w:val="center"/>
        <w:rPr>
          <w:b/>
          <w:lang w:eastAsia="ro-RO"/>
        </w:rPr>
      </w:pPr>
      <w:r w:rsidRPr="007B6888">
        <w:rPr>
          <w:b/>
          <w:lang w:eastAsia="ro-RO"/>
        </w:rPr>
        <w:t>Secțiunea</w:t>
      </w:r>
      <w:r w:rsidR="00670C79" w:rsidRPr="007B6888">
        <w:rPr>
          <w:b/>
          <w:lang w:eastAsia="ro-RO"/>
        </w:rPr>
        <w:t xml:space="preserve"> a 2-a</w:t>
      </w:r>
    </w:p>
    <w:p w14:paraId="23181ACA" w14:textId="16305F22" w:rsidR="00CB78C4" w:rsidRPr="007B6888" w:rsidRDefault="00670C79" w:rsidP="000B12C8">
      <w:pPr>
        <w:spacing w:after="120"/>
        <w:ind w:firstLine="720"/>
        <w:jc w:val="center"/>
        <w:rPr>
          <w:b/>
          <w:lang w:eastAsia="ro-RO"/>
        </w:rPr>
      </w:pPr>
      <w:r w:rsidRPr="007B6888">
        <w:rPr>
          <w:b/>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7B6888" w14:paraId="47D7FD1D" w14:textId="77777777" w:rsidTr="00E669C2">
        <w:trPr>
          <w:trHeight w:val="841"/>
        </w:trPr>
        <w:tc>
          <w:tcPr>
            <w:tcW w:w="10490" w:type="dxa"/>
          </w:tcPr>
          <w:p w14:paraId="334278EB" w14:textId="6D7969C7" w:rsidR="00742E10" w:rsidRPr="0025491E" w:rsidRDefault="00223491" w:rsidP="00E24FE7">
            <w:pPr>
              <w:autoSpaceDE w:val="0"/>
              <w:autoSpaceDN w:val="0"/>
              <w:adjustRightInd w:val="0"/>
              <w:jc w:val="both"/>
              <w:rPr>
                <w:rFonts w:eastAsiaTheme="minorHAnsi"/>
                <w:b/>
                <w:lang w:eastAsia="ro-RO"/>
              </w:rPr>
            </w:pPr>
            <w:r w:rsidRPr="0025491E">
              <w:rPr>
                <w:rFonts w:eastAsiaTheme="minorHAnsi"/>
                <w:b/>
                <w:lang w:eastAsia="ro-RO"/>
              </w:rPr>
              <w:t xml:space="preserve">2.1 Sursa proiectului de act normativ </w:t>
            </w:r>
          </w:p>
          <w:p w14:paraId="4707DAE9" w14:textId="01BCBDE2" w:rsidR="00406E45" w:rsidRDefault="00406E45" w:rsidP="00E24FE7">
            <w:pPr>
              <w:autoSpaceDE w:val="0"/>
              <w:autoSpaceDN w:val="0"/>
              <w:adjustRightInd w:val="0"/>
              <w:jc w:val="both"/>
              <w:rPr>
                <w:rFonts w:eastAsiaTheme="minorHAnsi"/>
                <w:bCs/>
                <w:lang w:eastAsia="ro-RO"/>
              </w:rPr>
            </w:pPr>
            <w:r>
              <w:rPr>
                <w:rFonts w:eastAsiaTheme="minorHAnsi"/>
                <w:bCs/>
                <w:lang w:eastAsia="ro-RO"/>
              </w:rPr>
              <w:t>D</w:t>
            </w:r>
            <w:r w:rsidRPr="00406E45">
              <w:rPr>
                <w:rFonts w:eastAsiaTheme="minorHAnsi"/>
                <w:bCs/>
                <w:lang w:eastAsia="ro-RO"/>
              </w:rPr>
              <w:t>e la intrarea în vigoare a OUG nr. 66/2011 și până în prezent au avut loc modificări ale cadrului instituțional de coordonare, gestionare și control a fondurilor europene, precum și modificări ale cadrului legal european și național aplicabil fondurilor europene, modificări generate de necesitatea creării cadrului de gestionare a fondurilor europene şi structurale de investiții (FESI) pentru perioada de programare 2014-2020</w:t>
            </w:r>
            <w:r>
              <w:rPr>
                <w:rFonts w:eastAsiaTheme="minorHAnsi"/>
                <w:bCs/>
                <w:lang w:eastAsia="ro-RO"/>
              </w:rPr>
              <w:t>, fiind astfel necesară revizuirea actului normativ care să corespundă inclusiv perioadei de programare 2021-2027.</w:t>
            </w:r>
          </w:p>
          <w:p w14:paraId="31A5EB09" w14:textId="73E4F95C" w:rsidR="00E24FE7" w:rsidRPr="00E24FE7" w:rsidRDefault="00525FA8" w:rsidP="00E24FE7">
            <w:pPr>
              <w:jc w:val="both"/>
              <w:rPr>
                <w:rFonts w:eastAsiaTheme="minorHAnsi"/>
                <w:bCs/>
                <w:lang w:eastAsia="ro-RO"/>
              </w:rPr>
            </w:pPr>
            <w:r>
              <w:rPr>
                <w:rFonts w:eastAsiaTheme="minorHAnsi"/>
                <w:bCs/>
                <w:lang w:eastAsia="ro-RO"/>
              </w:rPr>
              <w:t>Totodată, î</w:t>
            </w:r>
            <w:r w:rsidR="00E24FE7" w:rsidRPr="00E24FE7">
              <w:rPr>
                <w:rFonts w:eastAsiaTheme="minorHAnsi"/>
                <w:bCs/>
                <w:lang w:eastAsia="ro-RO"/>
              </w:rPr>
              <w:t>n data de 31 iulie 2020 a intrat în vigoare Ordonanța de urgență a Guvernului nr. 122/2020 privind unele măsuri pentru asigurarea eficientizării procesului decizional al fondurilor externe nerambursabile destinate dezvoltării regionale în România. Astfel, la nivelul celor opt regiuni de dezvoltare ale României, agențiile pentru dezvoltare regională, organizate potrivit Legii </w:t>
            </w:r>
            <w:hyperlink r:id="rId8" w:tgtFrame="_blank" w:history="1">
              <w:r w:rsidR="00E24FE7" w:rsidRPr="00E24FE7">
                <w:rPr>
                  <w:rFonts w:eastAsiaTheme="minorHAnsi"/>
                  <w:bCs/>
                  <w:lang w:eastAsia="ro-RO"/>
                </w:rPr>
                <w:t>nr. 315/2004</w:t>
              </w:r>
            </w:hyperlink>
            <w:r w:rsidR="00E24FE7" w:rsidRPr="00E24FE7">
              <w:rPr>
                <w:rFonts w:eastAsiaTheme="minorHAnsi"/>
                <w:bCs/>
                <w:lang w:eastAsia="ro-RO"/>
              </w:rPr>
              <w:t xml:space="preserve"> privind dezvoltarea regională în România, cu modificările și completările ulterioare, îndeplinesc rolul de Autoritate de management pentru programele operaționale regionale 2021-2027.</w:t>
            </w:r>
          </w:p>
          <w:p w14:paraId="02A2ED4E" w14:textId="77777777" w:rsidR="00E24FE7" w:rsidRDefault="00E24FE7" w:rsidP="00E24FE7">
            <w:pPr>
              <w:autoSpaceDE w:val="0"/>
              <w:autoSpaceDN w:val="0"/>
              <w:adjustRightInd w:val="0"/>
              <w:jc w:val="both"/>
              <w:rPr>
                <w:rFonts w:eastAsiaTheme="minorHAnsi"/>
                <w:bCs/>
                <w:lang w:eastAsia="ro-RO"/>
              </w:rPr>
            </w:pPr>
          </w:p>
          <w:p w14:paraId="202CF3D5" w14:textId="18259189" w:rsidR="009E3F6A" w:rsidRPr="0025491E" w:rsidRDefault="00223491" w:rsidP="00E24FE7">
            <w:pPr>
              <w:autoSpaceDE w:val="0"/>
              <w:autoSpaceDN w:val="0"/>
              <w:adjustRightInd w:val="0"/>
              <w:jc w:val="both"/>
              <w:rPr>
                <w:rFonts w:eastAsiaTheme="minorHAnsi"/>
                <w:b/>
                <w:lang w:eastAsia="ro-RO"/>
              </w:rPr>
            </w:pPr>
            <w:r w:rsidRPr="0025491E">
              <w:rPr>
                <w:rFonts w:eastAsiaTheme="minorHAnsi"/>
                <w:b/>
                <w:lang w:eastAsia="ro-RO"/>
              </w:rPr>
              <w:t>2.2 Descrierea situației actuale</w:t>
            </w:r>
          </w:p>
          <w:p w14:paraId="6BE68829" w14:textId="5CA38A28" w:rsidR="002248CC" w:rsidRPr="007B6888" w:rsidRDefault="002248CC" w:rsidP="00E24FE7">
            <w:pPr>
              <w:autoSpaceDE w:val="0"/>
              <w:autoSpaceDN w:val="0"/>
              <w:adjustRightInd w:val="0"/>
              <w:jc w:val="both"/>
              <w:rPr>
                <w:rFonts w:eastAsiaTheme="minorHAnsi"/>
                <w:bCs/>
                <w:lang w:eastAsia="ro-RO"/>
              </w:rPr>
            </w:pPr>
            <w:r w:rsidRPr="007B6888">
              <w:rPr>
                <w:rFonts w:eastAsiaTheme="minorHAnsi"/>
                <w:bCs/>
                <w:lang w:eastAsia="ro-RO"/>
              </w:rPr>
              <w:t>Politica de coeziune este una din cele mai importante și mai complexe politici ale Uniunii Europene, având ca principal obiectiv reducerea decalajelor economice, sociale şi teritoriale între diversele regiuni și state membre ale Uniunii Europene. În cadrul acestei politici, obiectivele specifice privind creșterea economică și ocuparea forței de muncă sunt susținute prin contribuția fondurilor  externe nerambursabile  implementate prin bugete multianuale de 7 ani (perioade de programare).</w:t>
            </w:r>
          </w:p>
          <w:p w14:paraId="2D1A7162" w14:textId="4EC9F6EA" w:rsidR="00072949" w:rsidRPr="00072949" w:rsidRDefault="008222DF" w:rsidP="00E24FE7">
            <w:pPr>
              <w:autoSpaceDE w:val="0"/>
              <w:autoSpaceDN w:val="0"/>
              <w:adjustRightInd w:val="0"/>
              <w:jc w:val="both"/>
              <w:rPr>
                <w:rFonts w:eastAsiaTheme="minorHAnsi"/>
                <w:bCs/>
                <w:lang w:eastAsia="ro-RO"/>
              </w:rPr>
            </w:pPr>
            <w:r w:rsidRPr="008222DF">
              <w:rPr>
                <w:rFonts w:eastAsiaTheme="minorHAnsi"/>
                <w:bCs/>
                <w:lang w:eastAsia="ro-RO"/>
              </w:rPr>
              <w:t xml:space="preserve">În data de </w:t>
            </w:r>
            <w:r w:rsidR="00406E45">
              <w:rPr>
                <w:rFonts w:eastAsiaTheme="minorHAnsi"/>
                <w:bCs/>
                <w:lang w:eastAsia="ro-RO"/>
              </w:rPr>
              <w:t>29</w:t>
            </w:r>
            <w:r w:rsidRPr="008222DF">
              <w:rPr>
                <w:rFonts w:eastAsiaTheme="minorHAnsi"/>
                <w:bCs/>
                <w:lang w:eastAsia="ro-RO"/>
              </w:rPr>
              <w:t xml:space="preserve"> </w:t>
            </w:r>
            <w:r w:rsidR="00406E45">
              <w:rPr>
                <w:rFonts w:eastAsiaTheme="minorHAnsi"/>
                <w:bCs/>
                <w:lang w:eastAsia="ro-RO"/>
              </w:rPr>
              <w:t>iunie</w:t>
            </w:r>
            <w:r w:rsidRPr="008222DF">
              <w:rPr>
                <w:rFonts w:eastAsiaTheme="minorHAnsi"/>
                <w:bCs/>
                <w:lang w:eastAsia="ro-RO"/>
              </w:rPr>
              <w:t xml:space="preserve"> 201</w:t>
            </w:r>
            <w:r w:rsidR="00406E45">
              <w:rPr>
                <w:rFonts w:eastAsiaTheme="minorHAnsi"/>
                <w:bCs/>
                <w:lang w:eastAsia="ro-RO"/>
              </w:rPr>
              <w:t>1</w:t>
            </w:r>
            <w:r w:rsidRPr="008222DF">
              <w:rPr>
                <w:rFonts w:eastAsiaTheme="minorHAnsi"/>
                <w:bCs/>
                <w:lang w:eastAsia="ro-RO"/>
              </w:rPr>
              <w:t xml:space="preserve"> a intrat în vigoare </w:t>
            </w:r>
            <w:r w:rsidR="00406E45" w:rsidRPr="00406E45">
              <w:rPr>
                <w:rFonts w:eastAsiaTheme="minorHAnsi"/>
                <w:bCs/>
                <w:lang w:eastAsia="ro-RO"/>
              </w:rPr>
              <w:t>Ordonanț</w:t>
            </w:r>
            <w:r w:rsidR="00406E45">
              <w:rPr>
                <w:rFonts w:eastAsiaTheme="minorHAnsi"/>
                <w:bCs/>
                <w:lang w:eastAsia="ro-RO"/>
              </w:rPr>
              <w:t>a</w:t>
            </w:r>
            <w:r w:rsidR="00406E45" w:rsidRPr="00406E45">
              <w:rPr>
                <w:rFonts w:eastAsiaTheme="minorHAnsi"/>
                <w:bCs/>
                <w:lang w:eastAsia="ro-RO"/>
              </w:rPr>
              <w:t xml:space="preserve"> de Urgență a Guvernului nr. 66 /2011</w:t>
            </w:r>
            <w:r w:rsidRPr="008222DF">
              <w:rPr>
                <w:rFonts w:eastAsiaTheme="minorHAnsi"/>
                <w:bCs/>
                <w:lang w:eastAsia="ro-RO"/>
              </w:rPr>
              <w:t>, act normativ care</w:t>
            </w:r>
            <w:r w:rsidR="00072949" w:rsidRPr="00072949">
              <w:rPr>
                <w:rFonts w:eastAsiaTheme="minorHAnsi"/>
                <w:bCs/>
                <w:lang w:eastAsia="ro-RO"/>
              </w:rPr>
              <w:t xml:space="preserve"> reglementează activităţile de prevenire, de constatare a neregulilor, de stabilire şi de recuperare a creanţelor bugetare rezultate din neregulile apărute în obţinerea şi utilizarea fondurilor europene şi/sau a fondurilor publice naţionale aferente acestora, precum şi de raportare a neregulilor către Comisia Europeană sau către alţi donatori internaţionali.</w:t>
            </w:r>
          </w:p>
          <w:p w14:paraId="1733DEFD" w14:textId="69397097" w:rsidR="00957308" w:rsidRDefault="00072949" w:rsidP="00E24FE7">
            <w:pPr>
              <w:autoSpaceDE w:val="0"/>
              <w:autoSpaceDN w:val="0"/>
              <w:adjustRightInd w:val="0"/>
              <w:jc w:val="both"/>
              <w:rPr>
                <w:rFonts w:eastAsiaTheme="minorHAnsi"/>
                <w:bCs/>
                <w:lang w:eastAsia="ro-RO"/>
              </w:rPr>
            </w:pPr>
            <w:r w:rsidRPr="00072949">
              <w:rPr>
                <w:rFonts w:eastAsiaTheme="minorHAnsi"/>
                <w:bCs/>
                <w:lang w:eastAsia="ro-RO"/>
              </w:rPr>
              <w:t>De la intrarea în vigoare a Ordonanţei de urgenţă a Guvernului nr. 66/2011 și până în prezent au avut loc modificări ale cadrului instituţional de coordonare, gestionare și control a fondurilor europene, precum și modificări ale cadrului legal european și național aplicabil fondurilor europene, modificări generate de necesitatea creării cadrului de gestionare a fondurilor europene şi structurale de investiţii (FESI) pentru perioada de programare 2014-2020.</w:t>
            </w:r>
            <w:r>
              <w:rPr>
                <w:rFonts w:eastAsiaTheme="minorHAnsi"/>
                <w:bCs/>
                <w:lang w:eastAsia="ro-RO"/>
              </w:rPr>
              <w:t xml:space="preserve"> </w:t>
            </w:r>
            <w:r w:rsidR="00957308">
              <w:rPr>
                <w:rFonts w:eastAsiaTheme="minorHAnsi"/>
                <w:bCs/>
                <w:lang w:eastAsia="ro-RO"/>
              </w:rPr>
              <w:t xml:space="preserve">Pentru adaptarea actului normativ la evoluția implementării programelor operaționale, ulterior a fost modificată prin mai multe acte normative: </w:t>
            </w:r>
          </w:p>
          <w:p w14:paraId="46824131"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Legea nr. 6/2021, </w:t>
            </w:r>
          </w:p>
          <w:p w14:paraId="781FA2EF"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Legea nr. 128/2020; </w:t>
            </w:r>
          </w:p>
          <w:p w14:paraId="3CBD07E8"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Ordonanță de urgenta a Guvernului nr. 80/2019; </w:t>
            </w:r>
          </w:p>
          <w:p w14:paraId="02E34D66"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Legea nr. 21/2018, </w:t>
            </w:r>
          </w:p>
          <w:p w14:paraId="2015F5D6"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Ordonanţa de urgenţă a Guvernului nr. 37/2016, </w:t>
            </w:r>
          </w:p>
          <w:p w14:paraId="554CFAA1"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lastRenderedPageBreak/>
              <w:t xml:space="preserve">Ordonanţa de urgenţă a Guvernului nr. 47/2014; </w:t>
            </w:r>
          </w:p>
          <w:p w14:paraId="4C2D1B94"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Legea nr. 196/2013, </w:t>
            </w:r>
          </w:p>
          <w:p w14:paraId="6CBC38E8" w14:textId="77777777" w:rsid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 xml:space="preserve">Ordonanţa de urgenţă a Guvernului nr. 75/2012, </w:t>
            </w:r>
          </w:p>
          <w:p w14:paraId="287A8975" w14:textId="7987E07E" w:rsidR="008222DF" w:rsidRPr="00957308" w:rsidRDefault="00957308" w:rsidP="00E24FE7">
            <w:pPr>
              <w:pStyle w:val="ListParagraph"/>
              <w:numPr>
                <w:ilvl w:val="0"/>
                <w:numId w:val="21"/>
              </w:numPr>
              <w:autoSpaceDE w:val="0"/>
              <w:autoSpaceDN w:val="0"/>
              <w:adjustRightInd w:val="0"/>
              <w:jc w:val="both"/>
              <w:rPr>
                <w:rFonts w:ascii="Times New Roman" w:hAnsi="Times New Roman" w:cs="Times New Roman"/>
                <w:bCs/>
                <w:lang w:eastAsia="ro-RO"/>
              </w:rPr>
            </w:pPr>
            <w:r w:rsidRPr="00957308">
              <w:rPr>
                <w:rFonts w:ascii="Times New Roman" w:hAnsi="Times New Roman" w:cs="Times New Roman"/>
                <w:bCs/>
                <w:lang w:eastAsia="ro-RO"/>
              </w:rPr>
              <w:t>Ordonanţa Guvernului nr. 22/2012.</w:t>
            </w:r>
          </w:p>
          <w:p w14:paraId="57846048" w14:textId="7201E15F" w:rsidR="00072949" w:rsidRDefault="00072949" w:rsidP="00E24FE7">
            <w:pPr>
              <w:autoSpaceDE w:val="0"/>
              <w:autoSpaceDN w:val="0"/>
              <w:adjustRightInd w:val="0"/>
              <w:jc w:val="both"/>
              <w:rPr>
                <w:rFonts w:eastAsiaTheme="minorHAnsi"/>
                <w:bCs/>
                <w:lang w:eastAsia="ro-RO"/>
              </w:rPr>
            </w:pPr>
            <w:r w:rsidRPr="00072949">
              <w:rPr>
                <w:rFonts w:eastAsiaTheme="minorHAnsi"/>
                <w:bCs/>
                <w:lang w:eastAsia="ro-RO"/>
              </w:rPr>
              <w:t xml:space="preserve">În acest context, având în vedere că derularea activității de constatare a neregulilor se derulează în prezent </w:t>
            </w:r>
            <w:r>
              <w:rPr>
                <w:rFonts w:eastAsiaTheme="minorHAnsi"/>
                <w:bCs/>
                <w:lang w:eastAsia="ro-RO"/>
              </w:rPr>
              <w:t>în</w:t>
            </w:r>
            <w:r w:rsidRPr="00072949">
              <w:rPr>
                <w:rFonts w:eastAsiaTheme="minorHAnsi"/>
                <w:bCs/>
                <w:lang w:eastAsia="ro-RO"/>
              </w:rPr>
              <w:t xml:space="preserve"> baz</w:t>
            </w:r>
            <w:r>
              <w:rPr>
                <w:rFonts w:eastAsiaTheme="minorHAnsi"/>
                <w:bCs/>
                <w:lang w:eastAsia="ro-RO"/>
              </w:rPr>
              <w:t>a</w:t>
            </w:r>
            <w:r w:rsidRPr="00072949">
              <w:rPr>
                <w:rFonts w:eastAsiaTheme="minorHAnsi"/>
                <w:bCs/>
                <w:lang w:eastAsia="ro-RO"/>
              </w:rPr>
              <w:t xml:space="preserve"> legal</w:t>
            </w:r>
            <w:r>
              <w:rPr>
                <w:rFonts w:eastAsiaTheme="minorHAnsi"/>
                <w:bCs/>
                <w:lang w:eastAsia="ro-RO"/>
              </w:rPr>
              <w:t>ă</w:t>
            </w:r>
            <w:r w:rsidRPr="00072949">
              <w:rPr>
                <w:rFonts w:eastAsiaTheme="minorHAnsi"/>
                <w:bCs/>
                <w:lang w:eastAsia="ro-RO"/>
              </w:rPr>
              <w:t xml:space="preserve"> </w:t>
            </w:r>
            <w:r>
              <w:rPr>
                <w:rFonts w:eastAsiaTheme="minorHAnsi"/>
                <w:bCs/>
                <w:lang w:eastAsia="ro-RO"/>
              </w:rPr>
              <w:t>menționată mai sus</w:t>
            </w:r>
            <w:r w:rsidRPr="00072949">
              <w:rPr>
                <w:rFonts w:eastAsiaTheme="minorHAnsi"/>
                <w:bCs/>
                <w:lang w:eastAsia="ro-RO"/>
              </w:rPr>
              <w:t xml:space="preserve">, se impune modificarea acestui act normativ în scopul asigurării cadrului legal aplicabil </w:t>
            </w:r>
            <w:r>
              <w:rPr>
                <w:rFonts w:eastAsiaTheme="minorHAnsi"/>
                <w:bCs/>
                <w:lang w:eastAsia="ro-RO"/>
              </w:rPr>
              <w:t>inclusiv</w:t>
            </w:r>
            <w:r w:rsidRPr="00072949">
              <w:rPr>
                <w:rFonts w:eastAsiaTheme="minorHAnsi"/>
                <w:bCs/>
                <w:lang w:eastAsia="ro-RO"/>
              </w:rPr>
              <w:t xml:space="preserve"> perioadei de programare 20</w:t>
            </w:r>
            <w:r>
              <w:rPr>
                <w:rFonts w:eastAsiaTheme="minorHAnsi"/>
                <w:bCs/>
                <w:lang w:eastAsia="ro-RO"/>
              </w:rPr>
              <w:t>21</w:t>
            </w:r>
            <w:r w:rsidRPr="00072949">
              <w:rPr>
                <w:rFonts w:eastAsiaTheme="minorHAnsi"/>
                <w:bCs/>
                <w:lang w:eastAsia="ro-RO"/>
              </w:rPr>
              <w:t>-20</w:t>
            </w:r>
            <w:r>
              <w:rPr>
                <w:rFonts w:eastAsiaTheme="minorHAnsi"/>
                <w:bCs/>
                <w:lang w:eastAsia="ro-RO"/>
              </w:rPr>
              <w:t>27</w:t>
            </w:r>
            <w:r w:rsidRPr="00072949">
              <w:rPr>
                <w:rFonts w:eastAsiaTheme="minorHAnsi"/>
                <w:bCs/>
                <w:lang w:eastAsia="ro-RO"/>
              </w:rPr>
              <w:t>, cuprinzând în mod unitar, regulile aplicabile de către instituțiile/structurile implicate în coordonarea, gestionarea și controlul FESI pentru perioada de programare 20</w:t>
            </w:r>
            <w:r>
              <w:rPr>
                <w:rFonts w:eastAsiaTheme="minorHAnsi"/>
                <w:bCs/>
                <w:lang w:eastAsia="ro-RO"/>
              </w:rPr>
              <w:t>2</w:t>
            </w:r>
            <w:r w:rsidRPr="00072949">
              <w:rPr>
                <w:rFonts w:eastAsiaTheme="minorHAnsi"/>
                <w:bCs/>
                <w:lang w:eastAsia="ro-RO"/>
              </w:rPr>
              <w:t>1-202</w:t>
            </w:r>
            <w:r>
              <w:rPr>
                <w:rFonts w:eastAsiaTheme="minorHAnsi"/>
                <w:bCs/>
                <w:lang w:eastAsia="ro-RO"/>
              </w:rPr>
              <w:t>7</w:t>
            </w:r>
            <w:r w:rsidRPr="00072949">
              <w:rPr>
                <w:rFonts w:eastAsiaTheme="minorHAnsi"/>
                <w:bCs/>
                <w:lang w:eastAsia="ro-RO"/>
              </w:rPr>
              <w:t xml:space="preserve"> în domeniul prevenirii şi constatării neregulilor, precum şi de stabilire şi recuperare a </w:t>
            </w:r>
            <w:r w:rsidR="006306C6" w:rsidRPr="00072949">
              <w:rPr>
                <w:rFonts w:eastAsiaTheme="minorHAnsi"/>
                <w:bCs/>
                <w:lang w:eastAsia="ro-RO"/>
              </w:rPr>
              <w:t>creanțelor</w:t>
            </w:r>
            <w:r w:rsidRPr="00072949">
              <w:rPr>
                <w:rFonts w:eastAsiaTheme="minorHAnsi"/>
                <w:bCs/>
                <w:lang w:eastAsia="ro-RO"/>
              </w:rPr>
              <w:t xml:space="preserve"> bugetare.</w:t>
            </w:r>
          </w:p>
          <w:p w14:paraId="23F0D37C" w14:textId="578FB5A8" w:rsidR="00E24FE7" w:rsidRPr="00E24FE7" w:rsidRDefault="00E24FE7" w:rsidP="00E24FE7">
            <w:pPr>
              <w:jc w:val="both"/>
              <w:rPr>
                <w:rFonts w:eastAsiaTheme="minorHAnsi"/>
                <w:bCs/>
                <w:lang w:eastAsia="ro-RO"/>
              </w:rPr>
            </w:pPr>
            <w:r>
              <w:rPr>
                <w:rFonts w:eastAsiaTheme="minorHAnsi"/>
                <w:bCs/>
                <w:lang w:eastAsia="ro-RO"/>
              </w:rPr>
              <w:t>Totodată,</w:t>
            </w:r>
            <w:r w:rsidRPr="00E24FE7">
              <w:rPr>
                <w:rFonts w:eastAsiaTheme="minorHAnsi"/>
                <w:bCs/>
                <w:lang w:eastAsia="ro-RO"/>
              </w:rPr>
              <w:t xml:space="preserve"> cadrul legal pentru recuperarea sumelor afectate de nereguli din domeniul fondurilor europene, respectiv Ordonanța de urgență a Guvernului nr. 66/2011 privind prevenirea, constatarea și sancționarea neregulilor apărute în obținerea și utilizarea fondurilor europene și/sau a fondurilor publice naționale aferente acestora, nu conține prevederi care să vizeze calitatea de autoritate de management a agențiilor pentru dezvoltare regională. Având în vedere faptul că acestea vor aplica prevederile cadrului legal cu privire la prevenirea, constatarea neregulilor, stabilirea și recuperarea creanțelor bugetare rezultate din nereguli se impune modificarea Ordonanței de urgență a Guvernului nr. 66/2011, în sensul corelării prevederilor celor două acte normative.</w:t>
            </w:r>
          </w:p>
          <w:p w14:paraId="68EDF105" w14:textId="77777777" w:rsidR="00E24FE7" w:rsidRPr="00E24FE7" w:rsidRDefault="00E24FE7" w:rsidP="00E24FE7">
            <w:pPr>
              <w:jc w:val="both"/>
              <w:rPr>
                <w:rFonts w:eastAsiaTheme="minorHAnsi"/>
                <w:bCs/>
                <w:lang w:eastAsia="ro-RO"/>
              </w:rPr>
            </w:pPr>
            <w:r w:rsidRPr="00E24FE7">
              <w:rPr>
                <w:rFonts w:eastAsiaTheme="minorHAnsi"/>
                <w:bCs/>
                <w:lang w:eastAsia="ro-RO"/>
              </w:rPr>
              <w:t>Lipsa reglementării imediate a cadrului legal și a condițiilor necesare pentru operaționalizarea autorităților de management la nivel regional conduc la demararea cu întârziere a implementării programelor operaționale regionale, având drept consecință un risc crescut de dezangajare a fondurilor externe nerambursabile, fapt care impune reglementarea în regim de urgență a acestei situații pentru a evita riscul de dezangajare în perioada 2021-2027.</w:t>
            </w:r>
          </w:p>
          <w:p w14:paraId="4D2FFF68" w14:textId="3762EEB0" w:rsidR="00E24FE7" w:rsidRPr="00072949" w:rsidRDefault="00E24FE7" w:rsidP="00E24FE7">
            <w:pPr>
              <w:autoSpaceDE w:val="0"/>
              <w:autoSpaceDN w:val="0"/>
              <w:adjustRightInd w:val="0"/>
              <w:jc w:val="both"/>
              <w:rPr>
                <w:rFonts w:eastAsiaTheme="minorHAnsi"/>
                <w:bCs/>
                <w:lang w:eastAsia="ro-RO"/>
              </w:rPr>
            </w:pPr>
            <w:r w:rsidRPr="00E24FE7">
              <w:rPr>
                <w:rFonts w:eastAsiaTheme="minorHAnsi"/>
                <w:bCs/>
                <w:lang w:eastAsia="ro-RO"/>
              </w:rPr>
              <w:t>Elementele menționate vizează interesul public și constituie o situație urgentă și extraordinară, a cărei reglementare nu poate fi amânată, pentru a asigura instituirea cât mai rapidă a cadrului instituțional de gestionare a programelor operaționale regionale pentru perioada de programare 2021-2027, precum și asigurarea unei bune gestiuni financiare a fondurilor destinate dezvoltării regionale</w:t>
            </w:r>
            <w:r w:rsidR="0025491E">
              <w:rPr>
                <w:rFonts w:eastAsiaTheme="minorHAnsi"/>
                <w:bCs/>
                <w:lang w:eastAsia="ro-RO"/>
              </w:rPr>
              <w:t>.</w:t>
            </w:r>
          </w:p>
          <w:p w14:paraId="723D00C9" w14:textId="20C0925E" w:rsidR="00957308" w:rsidRDefault="00072949" w:rsidP="00E24FE7">
            <w:pPr>
              <w:autoSpaceDE w:val="0"/>
              <w:autoSpaceDN w:val="0"/>
              <w:adjustRightInd w:val="0"/>
              <w:jc w:val="both"/>
              <w:rPr>
                <w:rFonts w:eastAsiaTheme="minorHAnsi"/>
                <w:bCs/>
                <w:lang w:eastAsia="ro-RO"/>
              </w:rPr>
            </w:pPr>
            <w:r w:rsidRPr="00072949">
              <w:rPr>
                <w:rFonts w:eastAsiaTheme="minorHAnsi"/>
                <w:bCs/>
                <w:lang w:eastAsia="ro-RO"/>
              </w:rPr>
              <w:t>Modificările propuse sunt rezultatul consultării tuturor autorităților cu competențe în coordonarea, gestionarea și controlul fondurilor europene, şi vizează protecția financiară a fondurilor europene şi a fondurilor naționale aferente acestora, utilizate sub formă de cofinanțare, fără a crește riscurile unei reglementări naționale mai stricte/mai exigente decât reglementările europene.</w:t>
            </w:r>
          </w:p>
          <w:p w14:paraId="4238D1EB" w14:textId="4264132F" w:rsidR="00223491" w:rsidRPr="0025491E" w:rsidRDefault="00223491" w:rsidP="00E24FE7">
            <w:pPr>
              <w:pStyle w:val="ListParagraph"/>
              <w:numPr>
                <w:ilvl w:val="1"/>
                <w:numId w:val="22"/>
              </w:numPr>
              <w:autoSpaceDE w:val="0"/>
              <w:autoSpaceDN w:val="0"/>
              <w:adjustRightInd w:val="0"/>
              <w:jc w:val="both"/>
              <w:rPr>
                <w:rFonts w:ascii="Times New Roman" w:hAnsi="Times New Roman" w:cs="Times New Roman"/>
                <w:b/>
                <w:lang w:eastAsia="ro-RO"/>
              </w:rPr>
            </w:pPr>
            <w:r w:rsidRPr="0025491E">
              <w:rPr>
                <w:rFonts w:ascii="Times New Roman" w:hAnsi="Times New Roman" w:cs="Times New Roman"/>
                <w:b/>
                <w:lang w:eastAsia="ro-RO"/>
              </w:rPr>
              <w:t>Schimbări preconizate</w:t>
            </w:r>
          </w:p>
          <w:p w14:paraId="3DE602F1" w14:textId="77777777" w:rsidR="00D76698" w:rsidRPr="00D76698" w:rsidRDefault="00D76698" w:rsidP="00E24FE7">
            <w:pPr>
              <w:autoSpaceDE w:val="0"/>
              <w:autoSpaceDN w:val="0"/>
              <w:adjustRightInd w:val="0"/>
              <w:jc w:val="both"/>
              <w:rPr>
                <w:rFonts w:eastAsiaTheme="minorHAnsi"/>
                <w:bCs/>
                <w:lang w:eastAsia="ro-RO"/>
              </w:rPr>
            </w:pPr>
            <w:r w:rsidRPr="00D76698">
              <w:rPr>
                <w:rFonts w:eastAsiaTheme="minorHAnsi"/>
                <w:bCs/>
                <w:lang w:eastAsia="ro-RO"/>
              </w:rPr>
              <w:t>Prezentul act normativ vizează următoarele aspecte:</w:t>
            </w:r>
          </w:p>
          <w:p w14:paraId="3C0BA8A0" w14:textId="32E74D0C" w:rsidR="00D76698" w:rsidRDefault="00D76698" w:rsidP="00E24FE7">
            <w:pPr>
              <w:autoSpaceDE w:val="0"/>
              <w:autoSpaceDN w:val="0"/>
              <w:adjustRightInd w:val="0"/>
              <w:jc w:val="both"/>
              <w:rPr>
                <w:rFonts w:eastAsiaTheme="minorHAnsi"/>
                <w:bCs/>
                <w:lang w:eastAsia="ro-RO"/>
              </w:rPr>
            </w:pPr>
            <w:r w:rsidRPr="00D76698">
              <w:rPr>
                <w:rFonts w:eastAsiaTheme="minorHAnsi"/>
                <w:bCs/>
                <w:lang w:eastAsia="ro-RO"/>
              </w:rPr>
              <w:t>Sunt adaptate reglementările privind prevenirea, constatarea şi sancționarea  neregulilor apărute în obținerea şi utilizarea fondurilor europene şi/sau a fondurilor publice naționale aferente acestora la structura sistemului de management și control pentru noua perioadă de programare 2021 2027,  având în vedere stadiul avansat al negocierilor cu Comisia Europeană pentru aprobarea acordului de parteneriat și a programelor operaționale</w:t>
            </w:r>
            <w:r w:rsidR="003B717D">
              <w:rPr>
                <w:rFonts w:eastAsiaTheme="minorHAnsi"/>
                <w:bCs/>
                <w:lang w:eastAsia="ro-RO"/>
              </w:rPr>
              <w:t>.</w:t>
            </w:r>
          </w:p>
          <w:p w14:paraId="45E86BB6" w14:textId="4AD85531" w:rsidR="00CF3D93" w:rsidRPr="00D76698" w:rsidRDefault="00CF3D93" w:rsidP="00E24FE7">
            <w:pPr>
              <w:autoSpaceDE w:val="0"/>
              <w:autoSpaceDN w:val="0"/>
              <w:adjustRightInd w:val="0"/>
              <w:jc w:val="both"/>
              <w:rPr>
                <w:rFonts w:eastAsiaTheme="minorHAnsi"/>
                <w:bCs/>
                <w:lang w:eastAsia="ro-RO"/>
              </w:rPr>
            </w:pPr>
            <w:r w:rsidRPr="00E24FE7">
              <w:rPr>
                <w:rFonts w:eastAsiaTheme="minorHAnsi"/>
                <w:bCs/>
                <w:lang w:eastAsia="ro-RO"/>
              </w:rPr>
              <w:t>A fost necesară stabilirea unei sintagme generice pentru corelarea perioadelor de programare si a programelor operaționale</w:t>
            </w:r>
            <w:r w:rsidR="003B717D" w:rsidRPr="00E24FE7">
              <w:rPr>
                <w:rFonts w:eastAsiaTheme="minorHAnsi"/>
                <w:bCs/>
                <w:lang w:eastAsia="ro-RO"/>
              </w:rPr>
              <w:t>.</w:t>
            </w:r>
          </w:p>
          <w:p w14:paraId="2650CA22" w14:textId="52774AAA" w:rsidR="00D76698" w:rsidRDefault="00D76698" w:rsidP="00E24FE7">
            <w:pPr>
              <w:autoSpaceDE w:val="0"/>
              <w:autoSpaceDN w:val="0"/>
              <w:adjustRightInd w:val="0"/>
              <w:jc w:val="both"/>
              <w:rPr>
                <w:rFonts w:eastAsiaTheme="minorHAnsi"/>
                <w:bCs/>
                <w:lang w:eastAsia="ro-RO"/>
              </w:rPr>
            </w:pPr>
            <w:r w:rsidRPr="00D76698">
              <w:rPr>
                <w:rFonts w:eastAsiaTheme="minorHAnsi"/>
                <w:bCs/>
                <w:lang w:eastAsia="ro-RO"/>
              </w:rPr>
              <w:t>Este întărit cadrul legal de reglementare a situațiilor de conflict de interese, inclusiv din perspectiva articolului 61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 Regulamentul financiar</w:t>
            </w:r>
            <w:r w:rsidR="003B717D">
              <w:rPr>
                <w:rFonts w:eastAsiaTheme="minorHAnsi"/>
                <w:bCs/>
                <w:lang w:eastAsia="ro-RO"/>
              </w:rPr>
              <w:t>.</w:t>
            </w:r>
          </w:p>
          <w:p w14:paraId="6E7320B8" w14:textId="2F6869F3" w:rsidR="00F30FCD" w:rsidRPr="00E24FE7" w:rsidRDefault="00D76698" w:rsidP="00E24FE7">
            <w:pPr>
              <w:autoSpaceDE w:val="0"/>
              <w:autoSpaceDN w:val="0"/>
              <w:adjustRightInd w:val="0"/>
              <w:jc w:val="both"/>
              <w:rPr>
                <w:rFonts w:eastAsiaTheme="minorHAnsi"/>
                <w:bCs/>
                <w:lang w:eastAsia="ro-RO"/>
              </w:rPr>
            </w:pPr>
            <w:r w:rsidRPr="00D76698">
              <w:rPr>
                <w:rFonts w:eastAsiaTheme="minorHAnsi"/>
                <w:bCs/>
                <w:lang w:eastAsia="ro-RO"/>
              </w:rPr>
              <w:t>Sunt eliminate definițiile pentru termenii reglementați deja în cadrul regulamentelor europene aplicabile gestiunii fondurilor europene și modificarea definițiilor în sensul unificării terminologice prin trimitere la prevederile regulamentelor europene aplicabile</w:t>
            </w:r>
            <w:r w:rsidR="00F30FCD" w:rsidRPr="00E24FE7">
              <w:rPr>
                <w:rFonts w:eastAsiaTheme="minorHAnsi"/>
                <w:bCs/>
                <w:lang w:eastAsia="ro-RO"/>
              </w:rPr>
              <w:t>.</w:t>
            </w:r>
          </w:p>
          <w:p w14:paraId="592D5F17" w14:textId="687AFF37" w:rsidR="00A72DC5" w:rsidRPr="00E24FE7" w:rsidRDefault="00A72DC5" w:rsidP="00E24FE7">
            <w:pPr>
              <w:jc w:val="both"/>
              <w:rPr>
                <w:rFonts w:eastAsiaTheme="minorHAnsi"/>
                <w:bCs/>
                <w:lang w:eastAsia="ro-RO"/>
              </w:rPr>
            </w:pPr>
            <w:r w:rsidRPr="00E24FE7">
              <w:rPr>
                <w:rFonts w:eastAsiaTheme="minorHAnsi"/>
                <w:bCs/>
                <w:lang w:eastAsia="ro-RO"/>
              </w:rPr>
              <w:lastRenderedPageBreak/>
              <w:t xml:space="preserve">Se clarifică modul de adresare de către autoritățile cu competențe în gestionarea fondurilor europene a suspiciunilor de fraudă și se elimină tratamentul diferențiat între beneficiarii publici și cei privați, având in vedere Decizia CCR 320/2021. </w:t>
            </w:r>
          </w:p>
          <w:p w14:paraId="37611989" w14:textId="2CA92D1D" w:rsidR="00A72DC5" w:rsidRDefault="00A72DC5" w:rsidP="00E24FE7">
            <w:pPr>
              <w:autoSpaceDE w:val="0"/>
              <w:autoSpaceDN w:val="0"/>
              <w:adjustRightInd w:val="0"/>
              <w:jc w:val="both"/>
              <w:rPr>
                <w:rFonts w:eastAsiaTheme="minorHAnsi"/>
                <w:bCs/>
                <w:lang w:eastAsia="ro-RO"/>
              </w:rPr>
            </w:pPr>
            <w:r w:rsidRPr="00D76698">
              <w:rPr>
                <w:rFonts w:eastAsiaTheme="minorHAnsi"/>
                <w:bCs/>
                <w:lang w:eastAsia="ro-RO"/>
              </w:rPr>
              <w:t>Sunt clarificate  atribuțiile Autorității de Certificarea și Plată și Autorităților de Management în relația cu Comisia în ceea ce privește sumele declarate aplicațiile de plată și conturi</w:t>
            </w:r>
            <w:r w:rsidR="003B717D">
              <w:rPr>
                <w:rFonts w:eastAsiaTheme="minorHAnsi"/>
                <w:bCs/>
                <w:lang w:eastAsia="ro-RO"/>
              </w:rPr>
              <w:t>.</w:t>
            </w:r>
          </w:p>
          <w:p w14:paraId="1145074A" w14:textId="0905B992" w:rsidR="00A72DC5" w:rsidRDefault="00A72DC5" w:rsidP="00E24FE7">
            <w:pPr>
              <w:autoSpaceDE w:val="0"/>
              <w:autoSpaceDN w:val="0"/>
              <w:adjustRightInd w:val="0"/>
              <w:jc w:val="both"/>
              <w:rPr>
                <w:rFonts w:eastAsiaTheme="minorHAnsi"/>
                <w:bCs/>
                <w:lang w:eastAsia="ro-RO"/>
              </w:rPr>
            </w:pPr>
            <w:r w:rsidRPr="00A72DC5">
              <w:rPr>
                <w:rFonts w:eastAsiaTheme="minorHAnsi"/>
                <w:bCs/>
                <w:lang w:eastAsia="ro-RO"/>
              </w:rPr>
              <w:t xml:space="preserve">Având </w:t>
            </w:r>
            <w:r>
              <w:rPr>
                <w:rFonts w:eastAsiaTheme="minorHAnsi"/>
                <w:bCs/>
                <w:lang w:eastAsia="ro-RO"/>
              </w:rPr>
              <w:t>î</w:t>
            </w:r>
            <w:r w:rsidRPr="00A72DC5">
              <w:rPr>
                <w:rFonts w:eastAsiaTheme="minorHAnsi"/>
                <w:bCs/>
                <w:lang w:eastAsia="ro-RO"/>
              </w:rPr>
              <w:t xml:space="preserve">n vedere închiderea anuala a conturilor, </w:t>
            </w:r>
            <w:r w:rsidR="00D716F2">
              <w:rPr>
                <w:rFonts w:eastAsiaTheme="minorHAnsi"/>
                <w:bCs/>
                <w:lang w:eastAsia="ro-RO"/>
              </w:rPr>
              <w:t>se prevede</w:t>
            </w:r>
            <w:r w:rsidRPr="00A72DC5">
              <w:rPr>
                <w:rFonts w:eastAsiaTheme="minorHAnsi"/>
                <w:bCs/>
                <w:lang w:eastAsia="ro-RO"/>
              </w:rPr>
              <w:t xml:space="preserve"> ca procesarea </w:t>
            </w:r>
            <w:r w:rsidR="00B667A5" w:rsidRPr="00A72DC5">
              <w:rPr>
                <w:rFonts w:eastAsiaTheme="minorHAnsi"/>
                <w:bCs/>
                <w:lang w:eastAsia="ro-RO"/>
              </w:rPr>
              <w:t>recomandărilor</w:t>
            </w:r>
            <w:r w:rsidRPr="00A72DC5">
              <w:rPr>
                <w:rFonts w:eastAsiaTheme="minorHAnsi"/>
                <w:bCs/>
                <w:lang w:eastAsia="ro-RO"/>
              </w:rPr>
              <w:t xml:space="preserve"> din proiectele de raport ale Autorității de Audit/Com</w:t>
            </w:r>
            <w:r w:rsidR="00B667A5">
              <w:rPr>
                <w:rFonts w:eastAsiaTheme="minorHAnsi"/>
                <w:bCs/>
                <w:lang w:eastAsia="ro-RO"/>
              </w:rPr>
              <w:t>i</w:t>
            </w:r>
            <w:r w:rsidRPr="00A72DC5">
              <w:rPr>
                <w:rFonts w:eastAsiaTheme="minorHAnsi"/>
                <w:bCs/>
                <w:lang w:eastAsia="ro-RO"/>
              </w:rPr>
              <w:t>siei Europene/ECA să se realizeze cu celeritate, pentru ca autoritatea de management să poată susține un punct de vedere fundamentat în procesul de conciliere, respectiv în procesul de închidere a conturilor</w:t>
            </w:r>
            <w:r w:rsidR="00D716F2">
              <w:rPr>
                <w:rFonts w:eastAsiaTheme="minorHAnsi"/>
                <w:bCs/>
                <w:lang w:eastAsia="ro-RO"/>
              </w:rPr>
              <w:t>.</w:t>
            </w:r>
          </w:p>
          <w:p w14:paraId="3EAE2607" w14:textId="1876F0A0" w:rsidR="00B667A5" w:rsidRPr="00E24FE7" w:rsidRDefault="00B667A5" w:rsidP="00E24FE7">
            <w:pPr>
              <w:pStyle w:val="NoSpacing"/>
              <w:jc w:val="both"/>
              <w:rPr>
                <w:rFonts w:ascii="Times New Roman" w:eastAsiaTheme="minorHAnsi" w:hAnsi="Times New Roman"/>
                <w:bCs/>
                <w:sz w:val="24"/>
                <w:szCs w:val="24"/>
                <w:lang w:val="ro-RO" w:eastAsia="ro-RO"/>
              </w:rPr>
            </w:pPr>
            <w:r w:rsidRPr="00E24FE7">
              <w:rPr>
                <w:rFonts w:ascii="Times New Roman" w:eastAsiaTheme="minorHAnsi" w:hAnsi="Times New Roman"/>
                <w:bCs/>
                <w:sz w:val="24"/>
                <w:szCs w:val="24"/>
                <w:lang w:val="ro-RO" w:eastAsia="ro-RO"/>
              </w:rPr>
              <w:t>Se completează condiţiile care trebuie îndeplinite de personalul cu atribuții de control și personalul cu atribuții în soluționarea contestațiilor.</w:t>
            </w:r>
          </w:p>
          <w:p w14:paraId="6A54741A" w14:textId="20D4EA66" w:rsidR="00B667A5" w:rsidRPr="00E24FE7" w:rsidRDefault="00B667A5" w:rsidP="00E24FE7">
            <w:pPr>
              <w:pStyle w:val="NoSpacing"/>
              <w:jc w:val="both"/>
              <w:rPr>
                <w:rFonts w:ascii="Times New Roman" w:eastAsiaTheme="minorHAnsi" w:hAnsi="Times New Roman"/>
                <w:bCs/>
                <w:sz w:val="24"/>
                <w:szCs w:val="24"/>
                <w:lang w:val="ro-RO" w:eastAsia="ro-RO"/>
              </w:rPr>
            </w:pPr>
            <w:r w:rsidRPr="00E24FE7">
              <w:rPr>
                <w:rFonts w:ascii="Times New Roman" w:eastAsiaTheme="minorHAnsi" w:hAnsi="Times New Roman"/>
                <w:bCs/>
                <w:sz w:val="24"/>
                <w:szCs w:val="24"/>
                <w:lang w:val="ro-RO" w:eastAsia="ro-RO"/>
              </w:rPr>
              <w:t>Este necesară reglement</w:t>
            </w:r>
            <w:r w:rsidR="00263EF2" w:rsidRPr="00E24FE7">
              <w:rPr>
                <w:rFonts w:ascii="Times New Roman" w:eastAsiaTheme="minorHAnsi" w:hAnsi="Times New Roman"/>
                <w:bCs/>
                <w:sz w:val="24"/>
                <w:szCs w:val="24"/>
                <w:lang w:val="ro-RO" w:eastAsia="ro-RO"/>
              </w:rPr>
              <w:t>a</w:t>
            </w:r>
            <w:r w:rsidRPr="00E24FE7">
              <w:rPr>
                <w:rFonts w:ascii="Times New Roman" w:eastAsiaTheme="minorHAnsi" w:hAnsi="Times New Roman"/>
                <w:bCs/>
                <w:sz w:val="24"/>
                <w:szCs w:val="24"/>
                <w:lang w:val="ro-RO" w:eastAsia="ro-RO"/>
              </w:rPr>
              <w:t>rea finalității activității în cazul în care echipa de control nu stabilește o creanță în sarcina beneficiarului.</w:t>
            </w:r>
          </w:p>
          <w:p w14:paraId="44F7060D" w14:textId="77777777" w:rsidR="00B667A5" w:rsidRPr="00E24FE7" w:rsidRDefault="00B667A5" w:rsidP="00E24FE7">
            <w:pPr>
              <w:pStyle w:val="NoSpacing"/>
              <w:jc w:val="both"/>
              <w:rPr>
                <w:rFonts w:ascii="Times New Roman" w:eastAsiaTheme="minorHAnsi" w:hAnsi="Times New Roman"/>
                <w:bCs/>
                <w:sz w:val="24"/>
                <w:szCs w:val="24"/>
                <w:lang w:val="ro-RO" w:eastAsia="ro-RO"/>
              </w:rPr>
            </w:pPr>
            <w:r w:rsidRPr="00E24FE7">
              <w:rPr>
                <w:rFonts w:ascii="Times New Roman" w:eastAsiaTheme="minorHAnsi" w:hAnsi="Times New Roman"/>
                <w:bCs/>
                <w:sz w:val="24"/>
                <w:szCs w:val="24"/>
                <w:lang w:val="ro-RO" w:eastAsia="ro-RO"/>
              </w:rPr>
              <w:t>Forma și conținutul raportului de control/ notei de închidere a suspiciunii de neregulă vor fi stabilite prin normele de aplicare.</w:t>
            </w:r>
          </w:p>
          <w:p w14:paraId="2190C8F1" w14:textId="220613A4" w:rsidR="00D76698" w:rsidRDefault="00D716F2" w:rsidP="00E24FE7">
            <w:pPr>
              <w:autoSpaceDE w:val="0"/>
              <w:autoSpaceDN w:val="0"/>
              <w:adjustRightInd w:val="0"/>
              <w:jc w:val="both"/>
              <w:rPr>
                <w:rFonts w:eastAsiaTheme="minorHAnsi"/>
                <w:bCs/>
                <w:lang w:eastAsia="ro-RO"/>
              </w:rPr>
            </w:pPr>
            <w:r>
              <w:rPr>
                <w:rFonts w:eastAsiaTheme="minorHAnsi"/>
                <w:bCs/>
                <w:lang w:eastAsia="ro-RO"/>
              </w:rPr>
              <w:t>Sunt</w:t>
            </w:r>
            <w:r w:rsidR="00D76698" w:rsidRPr="00D76698">
              <w:rPr>
                <w:rFonts w:eastAsiaTheme="minorHAnsi"/>
                <w:bCs/>
                <w:lang w:eastAsia="ro-RO"/>
              </w:rPr>
              <w:t xml:space="preserve"> introduse prevederi privind titlul de </w:t>
            </w:r>
            <w:r w:rsidR="00F30FCD" w:rsidRPr="00D76698">
              <w:rPr>
                <w:rFonts w:eastAsiaTheme="minorHAnsi"/>
                <w:bCs/>
                <w:lang w:eastAsia="ro-RO"/>
              </w:rPr>
              <w:t>creanță</w:t>
            </w:r>
            <w:r w:rsidR="00D76698" w:rsidRPr="00D76698">
              <w:rPr>
                <w:rFonts w:eastAsiaTheme="minorHAnsi"/>
                <w:bCs/>
                <w:lang w:eastAsia="ro-RO"/>
              </w:rPr>
              <w:t xml:space="preserve"> prin care se </w:t>
            </w:r>
            <w:r w:rsidR="00F30FCD" w:rsidRPr="00D76698">
              <w:rPr>
                <w:rFonts w:eastAsiaTheme="minorHAnsi"/>
                <w:bCs/>
                <w:lang w:eastAsia="ro-RO"/>
              </w:rPr>
              <w:t>stabilește</w:t>
            </w:r>
            <w:r w:rsidR="00D76698" w:rsidRPr="00D76698">
              <w:rPr>
                <w:rFonts w:eastAsiaTheme="minorHAnsi"/>
                <w:bCs/>
                <w:lang w:eastAsia="ro-RO"/>
              </w:rPr>
              <w:t xml:space="preserve"> cuantumul ajutorului de stat ilegal sau utilizat abuziv în sensul cuprinderii modalității de calculul dobânzilor datorate de la data plății acestuia până la data emiterii titlului de </w:t>
            </w:r>
            <w:r w:rsidR="00F30FCD" w:rsidRPr="00D76698">
              <w:rPr>
                <w:rFonts w:eastAsiaTheme="minorHAnsi"/>
                <w:bCs/>
                <w:lang w:eastAsia="ro-RO"/>
              </w:rPr>
              <w:t>creanță</w:t>
            </w:r>
            <w:r w:rsidR="00D76698" w:rsidRPr="00D76698">
              <w:rPr>
                <w:rFonts w:eastAsiaTheme="minorHAnsi"/>
                <w:bCs/>
                <w:lang w:eastAsia="ro-RO"/>
              </w:rPr>
              <w:t xml:space="preserve">, conform prevederilor din OUG </w:t>
            </w:r>
            <w:r w:rsidR="00B667A5">
              <w:rPr>
                <w:rFonts w:eastAsiaTheme="minorHAnsi"/>
                <w:bCs/>
                <w:lang w:eastAsia="ro-RO"/>
              </w:rPr>
              <w:t xml:space="preserve">nr. </w:t>
            </w:r>
            <w:r w:rsidR="00D76698" w:rsidRPr="00D76698">
              <w:rPr>
                <w:rFonts w:eastAsiaTheme="minorHAnsi"/>
                <w:bCs/>
                <w:lang w:eastAsia="ro-RO"/>
              </w:rPr>
              <w:t>77/2014.</w:t>
            </w:r>
          </w:p>
          <w:p w14:paraId="5E2C376B" w14:textId="3BC76E93" w:rsidR="00666DD4" w:rsidRDefault="005E72DA" w:rsidP="00E24FE7">
            <w:pPr>
              <w:autoSpaceDE w:val="0"/>
              <w:autoSpaceDN w:val="0"/>
              <w:adjustRightInd w:val="0"/>
              <w:jc w:val="both"/>
              <w:rPr>
                <w:rFonts w:eastAsiaTheme="minorHAnsi"/>
                <w:bCs/>
                <w:lang w:eastAsia="ro-RO"/>
              </w:rPr>
            </w:pPr>
            <w:r>
              <w:rPr>
                <w:rFonts w:eastAsiaTheme="minorHAnsi"/>
                <w:bCs/>
                <w:lang w:eastAsia="ro-RO"/>
              </w:rPr>
              <w:t>S-a c</w:t>
            </w:r>
            <w:r w:rsidRPr="005E72DA">
              <w:rPr>
                <w:rFonts w:eastAsiaTheme="minorHAnsi"/>
                <w:bCs/>
                <w:lang w:eastAsia="ro-RO"/>
              </w:rPr>
              <w:t>larifica</w:t>
            </w:r>
            <w:r>
              <w:rPr>
                <w:rFonts w:eastAsiaTheme="minorHAnsi"/>
                <w:bCs/>
                <w:lang w:eastAsia="ro-RO"/>
              </w:rPr>
              <w:t>t</w:t>
            </w:r>
            <w:r w:rsidRPr="005E72DA">
              <w:rPr>
                <w:rFonts w:eastAsiaTheme="minorHAnsi"/>
                <w:bCs/>
                <w:lang w:eastAsia="ro-RO"/>
              </w:rPr>
              <w:t xml:space="preserve"> </w:t>
            </w:r>
            <w:r>
              <w:rPr>
                <w:rFonts w:eastAsiaTheme="minorHAnsi"/>
                <w:bCs/>
                <w:lang w:eastAsia="ro-RO"/>
              </w:rPr>
              <w:t>faptul că d</w:t>
            </w:r>
            <w:r w:rsidRPr="005E72DA">
              <w:rPr>
                <w:rFonts w:eastAsiaTheme="minorHAnsi"/>
                <w:bCs/>
                <w:lang w:eastAsia="ro-RO"/>
              </w:rPr>
              <w:t>emararea procedurii de insolvență (reorganizarea activității) nu presupune automat o neregulă a beneficiarului.</w:t>
            </w:r>
          </w:p>
          <w:p w14:paraId="6CE9D9DD" w14:textId="0701E334" w:rsidR="005E72DA" w:rsidRDefault="00CF3D93" w:rsidP="00E24FE7">
            <w:pPr>
              <w:autoSpaceDE w:val="0"/>
              <w:autoSpaceDN w:val="0"/>
              <w:adjustRightInd w:val="0"/>
              <w:jc w:val="both"/>
              <w:rPr>
                <w:rFonts w:eastAsiaTheme="minorHAnsi"/>
                <w:bCs/>
                <w:lang w:eastAsia="ro-RO"/>
              </w:rPr>
            </w:pPr>
            <w:r>
              <w:rPr>
                <w:rFonts w:eastAsiaTheme="minorHAnsi"/>
                <w:bCs/>
                <w:lang w:eastAsia="ro-RO"/>
              </w:rPr>
              <w:t>Se</w:t>
            </w:r>
            <w:r w:rsidRPr="00CF3D93">
              <w:rPr>
                <w:rFonts w:eastAsiaTheme="minorHAnsi"/>
                <w:bCs/>
                <w:lang w:eastAsia="ro-RO"/>
              </w:rPr>
              <w:t xml:space="preserve"> preciz</w:t>
            </w:r>
            <w:r>
              <w:rPr>
                <w:rFonts w:eastAsiaTheme="minorHAnsi"/>
                <w:bCs/>
                <w:lang w:eastAsia="ro-RO"/>
              </w:rPr>
              <w:t>ează</w:t>
            </w:r>
            <w:r w:rsidRPr="00CF3D93">
              <w:rPr>
                <w:rFonts w:eastAsiaTheme="minorHAnsi"/>
                <w:bCs/>
                <w:lang w:eastAsia="ro-RO"/>
              </w:rPr>
              <w:t xml:space="preserve"> dat</w:t>
            </w:r>
            <w:r>
              <w:rPr>
                <w:rFonts w:eastAsiaTheme="minorHAnsi"/>
                <w:bCs/>
                <w:lang w:eastAsia="ro-RO"/>
              </w:rPr>
              <w:t>a</w:t>
            </w:r>
            <w:r w:rsidRPr="00CF3D93">
              <w:rPr>
                <w:rFonts w:eastAsiaTheme="minorHAnsi"/>
                <w:bCs/>
                <w:lang w:eastAsia="ro-RO"/>
              </w:rPr>
              <w:t xml:space="preserve"> la care se consideră recuperată creanța bugetară astfel încât să nu genereze interpretări în detrimentul beneficiarului public</w:t>
            </w:r>
            <w:r>
              <w:rPr>
                <w:rFonts w:eastAsiaTheme="minorHAnsi"/>
                <w:bCs/>
                <w:lang w:eastAsia="ro-RO"/>
              </w:rPr>
              <w:t>, aceasta fiind</w:t>
            </w:r>
            <w:r w:rsidRPr="00CF3D93">
              <w:rPr>
                <w:rFonts w:eastAsiaTheme="minorHAnsi"/>
                <w:bCs/>
                <w:lang w:eastAsia="ro-RO"/>
              </w:rPr>
              <w:t xml:space="preserve"> data extrasului de cont.</w:t>
            </w:r>
          </w:p>
          <w:p w14:paraId="125CE286" w14:textId="77777777" w:rsidR="0063374E" w:rsidRPr="000A725A" w:rsidRDefault="0063374E" w:rsidP="0096681C">
            <w:pPr>
              <w:jc w:val="both"/>
              <w:rPr>
                <w:bCs/>
                <w:sz w:val="25"/>
                <w:szCs w:val="25"/>
                <w:lang w:eastAsia="en-GB"/>
              </w:rPr>
            </w:pPr>
            <w:r w:rsidRPr="000A725A">
              <w:rPr>
                <w:bCs/>
                <w:sz w:val="25"/>
                <w:szCs w:val="25"/>
                <w:lang w:eastAsia="en-GB"/>
              </w:rPr>
              <w:t>Implementarea eficientă a fondurilor alocate programelor operaționale regionale este în corelație directă cu capacitatea autorităților de management stabilite pentru îndeplinirea funcțiilor/responsabilităților prevăzute în regulamentele europene și în legislația națională, inclusiv asigurarea unei bune gestiuni financiare a fondurilor destinate dezvoltării regionale.</w:t>
            </w:r>
          </w:p>
          <w:p w14:paraId="106ADA71" w14:textId="77777777" w:rsidR="0063374E" w:rsidRPr="000A725A" w:rsidRDefault="0063374E" w:rsidP="0096681C">
            <w:pPr>
              <w:jc w:val="both"/>
              <w:rPr>
                <w:bCs/>
                <w:sz w:val="25"/>
                <w:szCs w:val="25"/>
                <w:lang w:eastAsia="en-GB"/>
              </w:rPr>
            </w:pPr>
            <w:r w:rsidRPr="000A725A">
              <w:rPr>
                <w:bCs/>
                <w:sz w:val="25"/>
                <w:szCs w:val="25"/>
                <w:lang w:eastAsia="en-GB"/>
              </w:rPr>
              <w:t xml:space="preserve">În vederea îndeplinirii în mod eficient a acestor atribuții, este necesară corelarea prevederilor Ordonanței de urgență a Guvernului nr. 66/2011, </w:t>
            </w:r>
            <w:r w:rsidRPr="000A725A">
              <w:rPr>
                <w:bCs/>
                <w:noProof/>
                <w:sz w:val="25"/>
                <w:szCs w:val="25"/>
                <w:shd w:val="clear" w:color="auto" w:fill="FFFFFF"/>
              </w:rPr>
              <w:t>aprobată prin Legea nr. 142/2012, cu modificările și completările ulterioare,</w:t>
            </w:r>
            <w:r w:rsidRPr="000A725A">
              <w:rPr>
                <w:bCs/>
                <w:sz w:val="25"/>
                <w:szCs w:val="25"/>
                <w:lang w:eastAsia="en-GB"/>
              </w:rPr>
              <w:t xml:space="preserve"> cu prevederile Ordonanței de urgență a Guvernului nr. 122/2020 privind unele măsuri pentru asigurarea eficientizării procesului decizional al fondurilor externe nerambursabile destinate dezvoltării regionale în România, astfel încât agențiile pentru dezvoltare regională care nu sunt entități publice să dobândească calitatea de autoritate cu competențe în gestionarea fondurilor europene. </w:t>
            </w:r>
          </w:p>
          <w:p w14:paraId="6E4AD785" w14:textId="77777777" w:rsidR="0063374E" w:rsidRPr="000A725A" w:rsidRDefault="0063374E" w:rsidP="0096681C">
            <w:pPr>
              <w:jc w:val="both"/>
              <w:rPr>
                <w:bCs/>
                <w:sz w:val="25"/>
                <w:szCs w:val="25"/>
                <w:lang w:eastAsia="en-GB"/>
              </w:rPr>
            </w:pPr>
            <w:r w:rsidRPr="000A725A">
              <w:rPr>
                <w:bCs/>
                <w:sz w:val="25"/>
                <w:szCs w:val="25"/>
                <w:lang w:eastAsia="en-GB"/>
              </w:rPr>
              <w:t xml:space="preserve">Proiectul de act normativ are în vedere introducerea/modificarea în cadrul național de reglementare  în domeniul neregulilor a unor prevederi punctuale pentru calitatea de autoritate de management a agențiilor pentru dezvoltare regională care să le asigure posibilitatea aplicării legislației în ceea ce privește prevenirea, constatarea și sancționarea neregulilor. </w:t>
            </w:r>
          </w:p>
          <w:p w14:paraId="483B0B8B" w14:textId="77777777" w:rsidR="0063374E" w:rsidRPr="000A725A" w:rsidRDefault="0063374E" w:rsidP="0096681C">
            <w:pPr>
              <w:jc w:val="both"/>
              <w:rPr>
                <w:bCs/>
                <w:sz w:val="25"/>
                <w:szCs w:val="25"/>
                <w:lang w:eastAsia="en-GB"/>
              </w:rPr>
            </w:pPr>
            <w:r w:rsidRPr="000A725A">
              <w:rPr>
                <w:bCs/>
                <w:sz w:val="25"/>
                <w:szCs w:val="25"/>
                <w:lang w:eastAsia="en-GB"/>
              </w:rPr>
              <w:t xml:space="preserve">Astfel, formularea unei definiții generice a autorităților cu competențe în gestionarea fondurilor europene pe lângă armonizarea cu calitatea de autoritate de management a agențiilor pentru dezvoltare regională a vizat și prevenirea necesității modificării frecvente a actului normativ ca urmare a apariției de noi perioade de programare, de noi fonduri, reorganizarea și extinderea atribuțiilor unor structuri, etc. </w:t>
            </w:r>
          </w:p>
          <w:p w14:paraId="1C36A1A6" w14:textId="77777777" w:rsidR="0063374E" w:rsidRPr="000A725A" w:rsidRDefault="0063374E" w:rsidP="0096681C">
            <w:pPr>
              <w:jc w:val="both"/>
              <w:rPr>
                <w:bCs/>
                <w:sz w:val="25"/>
                <w:szCs w:val="25"/>
                <w:lang w:eastAsia="en-GB"/>
              </w:rPr>
            </w:pPr>
            <w:r w:rsidRPr="000A725A">
              <w:rPr>
                <w:bCs/>
                <w:sz w:val="25"/>
                <w:szCs w:val="25"/>
                <w:lang w:eastAsia="en-GB"/>
              </w:rPr>
              <w:t xml:space="preserve">Totodată, se reglementează posibilitatea ca, în situația în care autoritățile cu competențe pentru programele operaționale regionale 2021-2027 deleagă funcția de control, activitatea de constatare a neregulilor și stabilirea creanțelor bugetare să poată fi realizată de către structura de control din cadrul Ministerului Finanțelor. </w:t>
            </w:r>
          </w:p>
          <w:p w14:paraId="76E42216" w14:textId="77777777" w:rsidR="0063374E" w:rsidRPr="000A725A" w:rsidRDefault="0063374E" w:rsidP="0096681C">
            <w:pPr>
              <w:jc w:val="both"/>
              <w:rPr>
                <w:bCs/>
                <w:sz w:val="25"/>
                <w:szCs w:val="25"/>
                <w:lang w:eastAsia="en-GB"/>
              </w:rPr>
            </w:pPr>
            <w:r w:rsidRPr="000A725A">
              <w:rPr>
                <w:bCs/>
                <w:sz w:val="25"/>
                <w:szCs w:val="25"/>
                <w:lang w:eastAsia="en-GB"/>
              </w:rPr>
              <w:t xml:space="preserve">De asemenea, au fost modificate, în sensul armonizării cu calitatea de autoritate de management a agențiilor pentru dezvoltare regională, acele prevederi care vizează contestarea titlurilor de creanță </w:t>
            </w:r>
            <w:r w:rsidRPr="000A725A">
              <w:rPr>
                <w:bCs/>
                <w:sz w:val="25"/>
                <w:szCs w:val="25"/>
                <w:lang w:eastAsia="en-GB"/>
              </w:rPr>
              <w:lastRenderedPageBreak/>
              <w:t>emise pentru recuperarea sumelor plătite necuvenit ca urmare a unor nereguli, precum și o serie de articole care să le asigure posibilitatea aplicării acestora.</w:t>
            </w:r>
          </w:p>
          <w:p w14:paraId="28FC9C75" w14:textId="77777777" w:rsidR="0063374E" w:rsidRPr="000A725A" w:rsidRDefault="0063374E" w:rsidP="0096681C">
            <w:pPr>
              <w:jc w:val="both"/>
              <w:rPr>
                <w:bCs/>
                <w:sz w:val="25"/>
                <w:szCs w:val="25"/>
                <w:lang w:eastAsia="en-GB"/>
              </w:rPr>
            </w:pPr>
            <w:r w:rsidRPr="000A725A">
              <w:rPr>
                <w:bCs/>
                <w:sz w:val="25"/>
                <w:szCs w:val="25"/>
                <w:lang w:eastAsia="en-GB"/>
              </w:rPr>
              <w:t>Astfel, a fost eliminată noțiunea de autoritate publică, în acest sens autoritatea emitentă a titlului de creanță vizează autoritățile cu competențe în gestionarea fondurilor europene sau, după caz, autoritățile publice care desfășoară activitatea de constatarea neregulilor și stabilirea creanțelor bugetare potrivit prevederilor art. 20 alin (2) – (5).</w:t>
            </w:r>
          </w:p>
          <w:p w14:paraId="7E0AEEB8" w14:textId="77777777" w:rsidR="0063374E" w:rsidRPr="000A725A" w:rsidRDefault="0063374E" w:rsidP="0096681C">
            <w:pPr>
              <w:jc w:val="both"/>
              <w:rPr>
                <w:bCs/>
                <w:sz w:val="25"/>
                <w:szCs w:val="25"/>
                <w:lang w:eastAsia="en-GB"/>
              </w:rPr>
            </w:pPr>
            <w:r w:rsidRPr="000A725A">
              <w:rPr>
                <w:bCs/>
                <w:sz w:val="25"/>
                <w:szCs w:val="25"/>
                <w:lang w:eastAsia="en-GB"/>
              </w:rPr>
              <w:t xml:space="preserve">Totodată, este necesară reglementarea mai extinsă, astfel încât să fie acoperite toate situațiile în care autoritatea cu competențe în gestionarea fondurilor europene este incompatibilă cu persoana juridică în interiorul căreia este organizată. </w:t>
            </w:r>
          </w:p>
          <w:p w14:paraId="04750E38" w14:textId="77777777" w:rsidR="0063374E" w:rsidRPr="000A725A" w:rsidRDefault="0063374E" w:rsidP="0096681C">
            <w:pPr>
              <w:jc w:val="both"/>
              <w:rPr>
                <w:bCs/>
                <w:sz w:val="25"/>
                <w:szCs w:val="25"/>
                <w:highlight w:val="yellow"/>
                <w:lang w:eastAsia="en-GB"/>
              </w:rPr>
            </w:pPr>
            <w:r w:rsidRPr="000A725A">
              <w:rPr>
                <w:bCs/>
                <w:sz w:val="25"/>
                <w:szCs w:val="25"/>
                <w:lang w:eastAsia="en-GB"/>
              </w:rPr>
              <w:t>Aceasta deoarece, în situaţia emiterii unui titlu de creanţă/act administrativ prin care se dispun corecţii financiare/reduceri procentuale, după parcurgerea procedurii administrative de contestare a acestuia, finalizată cu emiterea unei decizii de respingere în tot sau în parte a contestaţiei, beneficiarul finanţării nerambursabile se află în imposibilitatea atacării titlului de creanţă/ actului administrativ prin care se dispun reduceri procentuale şi a deciziei administrative în faţa instanţelor judecătoreşti.</w:t>
            </w:r>
          </w:p>
          <w:p w14:paraId="19AF3A1C" w14:textId="77777777" w:rsidR="0063374E" w:rsidRPr="000A725A" w:rsidRDefault="0063374E" w:rsidP="0096681C">
            <w:pPr>
              <w:jc w:val="both"/>
              <w:rPr>
                <w:bCs/>
                <w:sz w:val="25"/>
                <w:szCs w:val="25"/>
                <w:lang w:eastAsia="en-GB"/>
              </w:rPr>
            </w:pPr>
            <w:r w:rsidRPr="000A725A">
              <w:rPr>
                <w:bCs/>
                <w:sz w:val="25"/>
                <w:szCs w:val="25"/>
                <w:lang w:eastAsia="en-GB"/>
              </w:rPr>
              <w:t xml:space="preserve">În absența adoptării urgente a măsurilor cuprinse în actul normativ, se va întârzia procesul de implementare a programelor operaționale regionale având drept consecință un risc crescut de dezangajare a fondurilor externe nerambursabile ceea ce constituie o situație urgentă și extraordinară, a cărei reglementare nu poate fi amânată. </w:t>
            </w:r>
          </w:p>
          <w:p w14:paraId="72550DC0" w14:textId="77777777" w:rsidR="0063374E" w:rsidRPr="000A725A" w:rsidRDefault="0063374E" w:rsidP="0096681C">
            <w:pPr>
              <w:jc w:val="both"/>
              <w:rPr>
                <w:bCs/>
                <w:sz w:val="25"/>
                <w:szCs w:val="25"/>
                <w:lang w:eastAsia="en-GB"/>
              </w:rPr>
            </w:pPr>
            <w:r w:rsidRPr="000A725A">
              <w:rPr>
                <w:bCs/>
                <w:sz w:val="25"/>
                <w:szCs w:val="25"/>
                <w:lang w:eastAsia="en-GB"/>
              </w:rPr>
              <w:t xml:space="preserve">Reglementarea acestor aspecte în regim de urgență este esențială având în vedere impactul direct asupra gradului de absorbție a fondurilor externe nerambursabile alocate României cu efecte în dezvoltarea socio-economică la nivel național.   </w:t>
            </w:r>
          </w:p>
          <w:p w14:paraId="6E75E960" w14:textId="77777777" w:rsidR="0063374E" w:rsidRDefault="0063374E" w:rsidP="0096681C">
            <w:pPr>
              <w:autoSpaceDE w:val="0"/>
              <w:autoSpaceDN w:val="0"/>
              <w:adjustRightInd w:val="0"/>
              <w:jc w:val="both"/>
              <w:rPr>
                <w:rFonts w:eastAsiaTheme="minorHAnsi"/>
                <w:bCs/>
                <w:lang w:eastAsia="ro-RO"/>
              </w:rPr>
            </w:pPr>
          </w:p>
          <w:p w14:paraId="2AB3B04E" w14:textId="7CB1BA8B" w:rsidR="00223491" w:rsidRDefault="00223491" w:rsidP="00E24FE7">
            <w:pPr>
              <w:autoSpaceDE w:val="0"/>
              <w:autoSpaceDN w:val="0"/>
              <w:adjustRightInd w:val="0"/>
              <w:jc w:val="both"/>
              <w:rPr>
                <w:rFonts w:eastAsiaTheme="minorHAnsi"/>
                <w:bCs/>
                <w:lang w:eastAsia="ro-RO"/>
              </w:rPr>
            </w:pPr>
            <w:r w:rsidRPr="007B6888">
              <w:rPr>
                <w:rFonts w:eastAsiaTheme="minorHAnsi"/>
                <w:bCs/>
                <w:lang w:eastAsia="ro-RO"/>
              </w:rPr>
              <w:t>2.4 Alte informații</w:t>
            </w:r>
            <w:r w:rsidR="0064777F" w:rsidRPr="007B6888">
              <w:rPr>
                <w:rFonts w:eastAsiaTheme="minorHAnsi"/>
                <w:bCs/>
                <w:lang w:eastAsia="ro-RO"/>
              </w:rPr>
              <w:t xml:space="preserve"> *)</w:t>
            </w:r>
          </w:p>
          <w:p w14:paraId="45862F79" w14:textId="144A2D94" w:rsidR="0053303E" w:rsidRPr="000626E3" w:rsidRDefault="00F97140" w:rsidP="00E24FE7">
            <w:pPr>
              <w:pStyle w:val="NormalWeb"/>
              <w:spacing w:before="0" w:beforeAutospacing="0" w:after="0" w:afterAutospacing="0"/>
              <w:jc w:val="both"/>
              <w:rPr>
                <w:rFonts w:eastAsiaTheme="minorHAnsi"/>
                <w:bCs/>
              </w:rPr>
            </w:pPr>
            <w:r w:rsidRPr="000626E3">
              <w:rPr>
                <w:rFonts w:eastAsiaTheme="minorHAnsi"/>
                <w:bCs/>
              </w:rPr>
              <w:t>Nu au fost identificate</w:t>
            </w:r>
          </w:p>
        </w:tc>
      </w:tr>
    </w:tbl>
    <w:p w14:paraId="2DB4CCB7" w14:textId="0025381D" w:rsidR="003864F6" w:rsidRPr="007B6888" w:rsidRDefault="00DB715E" w:rsidP="007C6AC2">
      <w:pPr>
        <w:spacing w:after="120"/>
        <w:rPr>
          <w:b/>
        </w:rPr>
      </w:pPr>
      <w:r w:rsidRPr="007B6888">
        <w:rPr>
          <w:b/>
        </w:rPr>
        <w:lastRenderedPageBreak/>
        <w:t xml:space="preserve">   </w:t>
      </w:r>
      <w:r w:rsidR="007C16BF" w:rsidRPr="007B6888">
        <w:rPr>
          <w:b/>
        </w:rPr>
        <w:t xml:space="preserve">   </w:t>
      </w:r>
    </w:p>
    <w:p w14:paraId="4794020D" w14:textId="21DDD868" w:rsidR="00223491" w:rsidRPr="007B6888" w:rsidRDefault="003864F6" w:rsidP="003832B6">
      <w:pPr>
        <w:ind w:firstLine="720"/>
        <w:rPr>
          <w:b/>
        </w:rPr>
      </w:pPr>
      <w:r w:rsidRPr="007B6888">
        <w:rPr>
          <w:b/>
        </w:rPr>
        <w:t>Secțiunea</w:t>
      </w:r>
      <w:r w:rsidR="00670C79" w:rsidRPr="007B6888">
        <w:rPr>
          <w:b/>
        </w:rPr>
        <w:t xml:space="preserve"> a 3-a </w:t>
      </w:r>
    </w:p>
    <w:p w14:paraId="4E4A7A8E" w14:textId="485C7CAC" w:rsidR="00670C79" w:rsidRPr="007B6888" w:rsidRDefault="00670C79" w:rsidP="007C6AC2">
      <w:pPr>
        <w:spacing w:after="120"/>
        <w:ind w:firstLine="720"/>
        <w:rPr>
          <w:b/>
        </w:rPr>
      </w:pPr>
      <w:r w:rsidRPr="007B6888">
        <w:rPr>
          <w:b/>
        </w:rPr>
        <w:t xml:space="preserve">Impactul socioeconomic </w:t>
      </w:r>
      <w:r w:rsidR="0064777F" w:rsidRPr="007B6888">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7B6888" w14:paraId="4F7B7B5A" w14:textId="77777777" w:rsidTr="007C07B3">
        <w:tc>
          <w:tcPr>
            <w:tcW w:w="10533" w:type="dxa"/>
          </w:tcPr>
          <w:p w14:paraId="612A275C" w14:textId="41654247" w:rsidR="00F72189" w:rsidRPr="007B6888" w:rsidRDefault="00F72189" w:rsidP="004F068D">
            <w:pPr>
              <w:spacing w:after="120"/>
              <w:jc w:val="both"/>
              <w:rPr>
                <w:b/>
              </w:rPr>
            </w:pPr>
            <w:r w:rsidRPr="007B6888">
              <w:rPr>
                <w:b/>
              </w:rPr>
              <w:t>3.1 Descrierea generală a beneficiilor și costurilor estimate ca urmare a intrării în vigoare a actului normativ</w:t>
            </w:r>
          </w:p>
          <w:p w14:paraId="49537E0E" w14:textId="77777777" w:rsidR="004F068D" w:rsidRPr="007B6888" w:rsidRDefault="004F068D" w:rsidP="004F068D">
            <w:pPr>
              <w:spacing w:after="120"/>
              <w:jc w:val="both"/>
              <w:rPr>
                <w:rFonts w:eastAsiaTheme="minorEastAsia"/>
                <w:lang w:eastAsia="ro-RO"/>
              </w:rPr>
            </w:pPr>
            <w:r w:rsidRPr="007B6888">
              <w:rPr>
                <w:rFonts w:eastAsiaTheme="minorEastAsia"/>
                <w:lang w:eastAsia="ro-RO"/>
              </w:rPr>
              <w:t>Proiectul de act normativ nu se referă la acest subiect.</w:t>
            </w:r>
          </w:p>
          <w:p w14:paraId="190C27FD" w14:textId="14A06339" w:rsidR="00FB45DC" w:rsidRPr="007B6888" w:rsidRDefault="00F72189" w:rsidP="004F068D">
            <w:pPr>
              <w:spacing w:after="120"/>
              <w:jc w:val="both"/>
              <w:rPr>
                <w:b/>
              </w:rPr>
            </w:pPr>
            <w:r w:rsidRPr="007B6888">
              <w:rPr>
                <w:b/>
              </w:rPr>
              <w:t>3.2 Impactul social</w:t>
            </w:r>
          </w:p>
          <w:p w14:paraId="14D571C7" w14:textId="77777777" w:rsidR="004F068D" w:rsidRPr="007B6888" w:rsidRDefault="004F068D" w:rsidP="004F068D">
            <w:pPr>
              <w:spacing w:after="120"/>
              <w:jc w:val="both"/>
              <w:rPr>
                <w:rFonts w:eastAsiaTheme="minorEastAsia"/>
                <w:lang w:eastAsia="ro-RO"/>
              </w:rPr>
            </w:pPr>
            <w:r w:rsidRPr="007B6888">
              <w:rPr>
                <w:rFonts w:eastAsiaTheme="minorEastAsia"/>
                <w:lang w:eastAsia="ro-RO"/>
              </w:rPr>
              <w:t>Proiectul de act normativ nu se referă la acest subiect.</w:t>
            </w:r>
          </w:p>
          <w:p w14:paraId="49F54BE2" w14:textId="6B357F25" w:rsidR="00FB45DC" w:rsidRPr="007B6888" w:rsidRDefault="00F72189" w:rsidP="004F068D">
            <w:pPr>
              <w:spacing w:after="120"/>
              <w:jc w:val="both"/>
              <w:rPr>
                <w:bCs/>
                <w:color w:val="FF0000"/>
              </w:rPr>
            </w:pPr>
            <w:r w:rsidRPr="007B6888">
              <w:rPr>
                <w:b/>
              </w:rPr>
              <w:t xml:space="preserve">3.3. Impactul asupra drepturilor și libertăților fundamentale ale omului </w:t>
            </w:r>
            <w:r w:rsidR="00FB45DC" w:rsidRPr="007B6888">
              <w:rPr>
                <w:bCs/>
                <w:color w:val="FF0000"/>
              </w:rPr>
              <w:t>.</w:t>
            </w:r>
          </w:p>
          <w:p w14:paraId="5081FA1F" w14:textId="77777777" w:rsidR="004F068D" w:rsidRPr="007B6888" w:rsidRDefault="004F068D" w:rsidP="004F068D">
            <w:pPr>
              <w:spacing w:after="120"/>
              <w:jc w:val="both"/>
              <w:rPr>
                <w:rFonts w:eastAsiaTheme="minorEastAsia"/>
                <w:lang w:eastAsia="ro-RO"/>
              </w:rPr>
            </w:pPr>
            <w:r w:rsidRPr="007B6888">
              <w:rPr>
                <w:rFonts w:eastAsiaTheme="minorEastAsia"/>
                <w:lang w:eastAsia="ro-RO"/>
              </w:rPr>
              <w:t>Proiectul de act normativ nu se referă la acest subiect.</w:t>
            </w:r>
          </w:p>
          <w:p w14:paraId="139B6ECC" w14:textId="4CCE48EA" w:rsidR="00FB45DC" w:rsidRPr="007B6888" w:rsidRDefault="00FD3526" w:rsidP="004F068D">
            <w:pPr>
              <w:spacing w:after="120"/>
              <w:jc w:val="both"/>
              <w:rPr>
                <w:b/>
              </w:rPr>
            </w:pPr>
            <w:r w:rsidRPr="007B6888">
              <w:rPr>
                <w:b/>
              </w:rPr>
              <w:t>3.4. Impactul macroeconomic</w:t>
            </w:r>
          </w:p>
          <w:p w14:paraId="1B16924E" w14:textId="01A89835" w:rsidR="00FB45DC" w:rsidRDefault="00F72189" w:rsidP="004F068D">
            <w:pPr>
              <w:spacing w:after="120"/>
              <w:jc w:val="both"/>
              <w:rPr>
                <w:b/>
              </w:rPr>
            </w:pPr>
            <w:r w:rsidRPr="007B6888">
              <w:rPr>
                <w:b/>
              </w:rPr>
              <w:t>3.</w:t>
            </w:r>
            <w:r w:rsidR="00FD3526" w:rsidRPr="007B6888">
              <w:rPr>
                <w:b/>
              </w:rPr>
              <w:t>4</w:t>
            </w:r>
            <w:r w:rsidRPr="007B6888">
              <w:rPr>
                <w:b/>
              </w:rPr>
              <w:t xml:space="preserve">.1 Impactul asupra </w:t>
            </w:r>
            <w:r w:rsidR="00FD3526" w:rsidRPr="007B6888">
              <w:rPr>
                <w:b/>
              </w:rPr>
              <w:t xml:space="preserve">economiei și asupra </w:t>
            </w:r>
            <w:r w:rsidRPr="007B6888">
              <w:rPr>
                <w:b/>
              </w:rPr>
              <w:t>principalilor indicatori macroeconomici</w:t>
            </w:r>
          </w:p>
          <w:p w14:paraId="31EAC8D6" w14:textId="77777777" w:rsidR="008222DF" w:rsidRPr="007B6888" w:rsidRDefault="008222DF" w:rsidP="008222DF">
            <w:pPr>
              <w:spacing w:after="120"/>
              <w:jc w:val="both"/>
              <w:rPr>
                <w:rFonts w:eastAsiaTheme="minorEastAsia"/>
                <w:lang w:eastAsia="ro-RO"/>
              </w:rPr>
            </w:pPr>
            <w:r w:rsidRPr="007B6888">
              <w:rPr>
                <w:rFonts w:eastAsiaTheme="minorEastAsia"/>
                <w:lang w:eastAsia="ro-RO"/>
              </w:rPr>
              <w:t>Proiectul de act normativ nu se referă la acest subiect.</w:t>
            </w:r>
          </w:p>
          <w:p w14:paraId="18C98DD5" w14:textId="318BB39D" w:rsidR="00F72189" w:rsidRPr="007B6888" w:rsidRDefault="00F72189" w:rsidP="004F068D">
            <w:pPr>
              <w:spacing w:after="120"/>
              <w:jc w:val="both"/>
              <w:rPr>
                <w:b/>
              </w:rPr>
            </w:pPr>
            <w:r w:rsidRPr="007B6888">
              <w:rPr>
                <w:b/>
              </w:rPr>
              <w:t>3.</w:t>
            </w:r>
            <w:r w:rsidR="00FD3526" w:rsidRPr="007B6888">
              <w:rPr>
                <w:b/>
              </w:rPr>
              <w:t>4</w:t>
            </w:r>
            <w:r w:rsidRPr="007B6888">
              <w:rPr>
                <w:b/>
              </w:rPr>
              <w:t>.2 Impactul asupra mediului concurențial si domeniul</w:t>
            </w:r>
            <w:r w:rsidR="00FB45DC" w:rsidRPr="007B6888">
              <w:rPr>
                <w:b/>
              </w:rPr>
              <w:t>ui</w:t>
            </w:r>
            <w:r w:rsidRPr="007B6888">
              <w:rPr>
                <w:b/>
              </w:rPr>
              <w:t xml:space="preserve"> ajutoarelor de stat</w:t>
            </w:r>
          </w:p>
          <w:p w14:paraId="7466C82C" w14:textId="261A2930" w:rsidR="004F068D" w:rsidRPr="007B6888" w:rsidRDefault="004F068D" w:rsidP="004F068D">
            <w:pPr>
              <w:spacing w:after="120"/>
              <w:jc w:val="both"/>
              <w:rPr>
                <w:rFonts w:eastAsiaTheme="minorEastAsia"/>
                <w:lang w:eastAsia="ro-RO"/>
              </w:rPr>
            </w:pPr>
            <w:r w:rsidRPr="007B6888">
              <w:rPr>
                <w:rFonts w:eastAsiaTheme="minorEastAsia"/>
                <w:lang w:eastAsia="ro-RO"/>
              </w:rPr>
              <w:t>Prezentul act normativ nu se referă la acest subiect</w:t>
            </w:r>
          </w:p>
          <w:p w14:paraId="5D645A5F" w14:textId="285997E0" w:rsidR="00F72189" w:rsidRPr="007B6888" w:rsidRDefault="00F72189" w:rsidP="004F068D">
            <w:pPr>
              <w:spacing w:after="120"/>
              <w:jc w:val="both"/>
              <w:rPr>
                <w:b/>
              </w:rPr>
            </w:pPr>
            <w:r w:rsidRPr="007B6888">
              <w:rPr>
                <w:b/>
              </w:rPr>
              <w:t>3.</w:t>
            </w:r>
            <w:r w:rsidR="00FD3526" w:rsidRPr="007B6888">
              <w:rPr>
                <w:b/>
              </w:rPr>
              <w:t>5</w:t>
            </w:r>
            <w:r w:rsidRPr="007B6888">
              <w:rPr>
                <w:b/>
              </w:rPr>
              <w:t>. Impactul asupra mediului de afaceri</w:t>
            </w:r>
          </w:p>
          <w:p w14:paraId="102439EE" w14:textId="19120BBF" w:rsidR="004F068D" w:rsidRPr="007B6888" w:rsidRDefault="008222DF" w:rsidP="004F068D">
            <w:pPr>
              <w:spacing w:after="120"/>
              <w:jc w:val="both"/>
              <w:rPr>
                <w:rFonts w:eastAsiaTheme="minorEastAsia"/>
                <w:lang w:eastAsia="ro-RO"/>
              </w:rPr>
            </w:pPr>
            <w:r w:rsidRPr="008222DF">
              <w:rPr>
                <w:rFonts w:eastAsiaTheme="minorEastAsia"/>
                <w:lang w:eastAsia="ro-RO"/>
              </w:rPr>
              <w:t>Prezentul act normativ nu se referă la acest subiect</w:t>
            </w:r>
          </w:p>
          <w:p w14:paraId="6BA44179" w14:textId="50BB61E5" w:rsidR="00FD3526" w:rsidRPr="007B6888" w:rsidRDefault="00FD3526" w:rsidP="004F068D">
            <w:pPr>
              <w:spacing w:after="120"/>
              <w:jc w:val="both"/>
              <w:rPr>
                <w:b/>
              </w:rPr>
            </w:pPr>
            <w:r w:rsidRPr="007B6888">
              <w:rPr>
                <w:b/>
              </w:rPr>
              <w:lastRenderedPageBreak/>
              <w:t>3.6 Impactul asupra mediului înconjurător</w:t>
            </w:r>
          </w:p>
          <w:p w14:paraId="13603751" w14:textId="77777777" w:rsidR="00723488" w:rsidRPr="007B6888" w:rsidRDefault="00723488" w:rsidP="00723488">
            <w:pPr>
              <w:spacing w:after="120"/>
              <w:jc w:val="both"/>
              <w:rPr>
                <w:rFonts w:eastAsiaTheme="minorEastAsia"/>
                <w:lang w:eastAsia="ro-RO"/>
              </w:rPr>
            </w:pPr>
            <w:r w:rsidRPr="007B6888">
              <w:rPr>
                <w:rFonts w:eastAsiaTheme="minorEastAsia"/>
                <w:lang w:eastAsia="ro-RO"/>
              </w:rPr>
              <w:t>Prezentul act normativ nu se referă la acest subiect</w:t>
            </w:r>
          </w:p>
          <w:p w14:paraId="55CFDA7E" w14:textId="6D36CE3A" w:rsidR="00FD3526" w:rsidRPr="007B6888" w:rsidRDefault="00FD3526" w:rsidP="004F068D">
            <w:pPr>
              <w:spacing w:after="120"/>
              <w:jc w:val="both"/>
              <w:rPr>
                <w:b/>
                <w:bCs/>
              </w:rPr>
            </w:pPr>
            <w:r w:rsidRPr="007B6888">
              <w:rPr>
                <w:b/>
                <w:bCs/>
              </w:rPr>
              <w:t>3.7. Evaluarea costurilor și beneficiilor din perspectiva inovării și digitalizării</w:t>
            </w:r>
          </w:p>
          <w:p w14:paraId="11B5A1AE" w14:textId="77777777" w:rsidR="00723488" w:rsidRPr="007B6888" w:rsidRDefault="00723488" w:rsidP="00723488">
            <w:pPr>
              <w:spacing w:after="120"/>
              <w:jc w:val="both"/>
              <w:rPr>
                <w:rFonts w:eastAsiaTheme="minorEastAsia"/>
                <w:lang w:eastAsia="ro-RO"/>
              </w:rPr>
            </w:pPr>
            <w:r w:rsidRPr="007B6888">
              <w:rPr>
                <w:rFonts w:eastAsiaTheme="minorEastAsia"/>
                <w:lang w:eastAsia="ro-RO"/>
              </w:rPr>
              <w:t>Prezentul act normativ nu se referă la acest subiect</w:t>
            </w:r>
          </w:p>
          <w:p w14:paraId="2ABFD9F1" w14:textId="0008530D" w:rsidR="00FF587A" w:rsidRPr="007B6888" w:rsidRDefault="00FD3526" w:rsidP="004F068D">
            <w:pPr>
              <w:spacing w:after="120"/>
              <w:jc w:val="both"/>
              <w:rPr>
                <w:b/>
                <w:bCs/>
              </w:rPr>
            </w:pPr>
            <w:r w:rsidRPr="007B6888">
              <w:rPr>
                <w:b/>
                <w:bCs/>
              </w:rPr>
              <w:t>3.8 Evaluarea costurilor și beneficiilor din perspectiva dezvoltării durabile</w:t>
            </w:r>
          </w:p>
          <w:p w14:paraId="34FD6DA6" w14:textId="77777777" w:rsidR="00723488" w:rsidRPr="007B6888" w:rsidRDefault="00723488" w:rsidP="00723488">
            <w:pPr>
              <w:spacing w:after="120"/>
              <w:jc w:val="both"/>
              <w:rPr>
                <w:rFonts w:eastAsiaTheme="minorEastAsia"/>
                <w:lang w:eastAsia="ro-RO"/>
              </w:rPr>
            </w:pPr>
            <w:r w:rsidRPr="007B6888">
              <w:rPr>
                <w:rFonts w:eastAsiaTheme="minorEastAsia"/>
                <w:lang w:eastAsia="ro-RO"/>
              </w:rPr>
              <w:t>Prezentul act normativ nu se referă la acest subiect</w:t>
            </w:r>
          </w:p>
          <w:p w14:paraId="084ABB04" w14:textId="77777777" w:rsidR="00FD3526" w:rsidRPr="007B6888" w:rsidRDefault="00FD3526" w:rsidP="004F068D">
            <w:pPr>
              <w:spacing w:after="120"/>
              <w:jc w:val="both"/>
              <w:rPr>
                <w:b/>
                <w:bCs/>
              </w:rPr>
            </w:pPr>
            <w:r w:rsidRPr="007B6888">
              <w:rPr>
                <w:b/>
                <w:bCs/>
              </w:rPr>
              <w:t>3.9. Alte informații</w:t>
            </w:r>
          </w:p>
          <w:p w14:paraId="041FB550" w14:textId="35F548BE" w:rsidR="00723488" w:rsidRPr="007B6888" w:rsidRDefault="00723488" w:rsidP="004F068D">
            <w:pPr>
              <w:spacing w:after="120"/>
              <w:jc w:val="both"/>
              <w:rPr>
                <w:b/>
                <w:bCs/>
              </w:rPr>
            </w:pPr>
            <w:r w:rsidRPr="007B6888">
              <w:rPr>
                <w:rFonts w:eastAsiaTheme="minorEastAsia"/>
                <w:lang w:eastAsia="ro-RO"/>
              </w:rPr>
              <w:t>Nu au fost identificate</w:t>
            </w:r>
          </w:p>
        </w:tc>
      </w:tr>
    </w:tbl>
    <w:p w14:paraId="27B98DEA" w14:textId="3840CFF6" w:rsidR="00742E10" w:rsidRPr="007B6888" w:rsidRDefault="00742E10" w:rsidP="007C6AC2">
      <w:pPr>
        <w:spacing w:after="120"/>
        <w:ind w:firstLine="720"/>
        <w:jc w:val="both"/>
        <w:rPr>
          <w:b/>
        </w:rPr>
      </w:pPr>
    </w:p>
    <w:p w14:paraId="20A2BC5C" w14:textId="6FECC28D" w:rsidR="005A13C5" w:rsidRPr="007B6888" w:rsidRDefault="00214287" w:rsidP="003832B6">
      <w:pPr>
        <w:ind w:firstLine="720"/>
        <w:jc w:val="both"/>
        <w:rPr>
          <w:b/>
        </w:rPr>
      </w:pPr>
      <w:r w:rsidRPr="007B6888">
        <w:rPr>
          <w:b/>
        </w:rPr>
        <w:t>Secțiunea</w:t>
      </w:r>
      <w:r w:rsidR="00670C79" w:rsidRPr="007B6888">
        <w:rPr>
          <w:b/>
        </w:rPr>
        <w:t xml:space="preserve"> a 4-a </w:t>
      </w:r>
    </w:p>
    <w:p w14:paraId="34AED0C5" w14:textId="5ABB9584" w:rsidR="00670C79" w:rsidRPr="007B6888" w:rsidRDefault="00670C79" w:rsidP="007C6AC2">
      <w:pPr>
        <w:spacing w:after="120"/>
        <w:ind w:firstLine="720"/>
        <w:jc w:val="both"/>
        <w:rPr>
          <w:b/>
        </w:rPr>
      </w:pPr>
      <w:r w:rsidRPr="007B6888">
        <w:rPr>
          <w:b/>
        </w:rPr>
        <w:t xml:space="preserve">Impactul financiar asupra bugetului </w:t>
      </w:r>
      <w:r w:rsidR="0064777F" w:rsidRPr="007B6888">
        <w:rPr>
          <w:b/>
        </w:rPr>
        <w:t>general</w:t>
      </w:r>
      <w:r w:rsidRPr="007B6888">
        <w:rPr>
          <w:b/>
        </w:rPr>
        <w:t xml:space="preserve"> consolidat atât pe termen scurt, pentru</w:t>
      </w:r>
      <w:r w:rsidR="00DB71DB" w:rsidRPr="007B6888">
        <w:rPr>
          <w:b/>
        </w:rPr>
        <w:t xml:space="preserve"> </w:t>
      </w:r>
      <w:r w:rsidRPr="007B6888">
        <w:rPr>
          <w:b/>
        </w:rPr>
        <w:t>anul curent, cât şi pe termen lung (pe 5 ani)</w:t>
      </w:r>
      <w:r w:rsidR="003034B1" w:rsidRPr="007B6888">
        <w:rPr>
          <w:b/>
        </w:rPr>
        <w:t>, inclusiv informații cu privire la cheltuieli și venituri</w:t>
      </w:r>
      <w:r w:rsidR="0064777F" w:rsidRPr="007B6888">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7B6888" w14:paraId="0C843357" w14:textId="77777777" w:rsidTr="0037486B">
        <w:tc>
          <w:tcPr>
            <w:tcW w:w="10533" w:type="dxa"/>
            <w:gridSpan w:val="7"/>
          </w:tcPr>
          <w:p w14:paraId="33061C9B" w14:textId="7824EB12" w:rsidR="009A76F9" w:rsidRPr="007B6888" w:rsidRDefault="009A76F9" w:rsidP="007C6AC2">
            <w:pPr>
              <w:pStyle w:val="ListParagraph"/>
              <w:numPr>
                <w:ilvl w:val="0"/>
                <w:numId w:val="13"/>
              </w:numPr>
              <w:spacing w:after="120"/>
              <w:contextualSpacing w:val="0"/>
              <w:jc w:val="right"/>
              <w:rPr>
                <w:rFonts w:ascii="Times New Roman" w:hAnsi="Times New Roman" w:cs="Times New Roman"/>
              </w:rPr>
            </w:pPr>
            <w:r w:rsidRPr="007B6888">
              <w:rPr>
                <w:rFonts w:ascii="Times New Roman" w:hAnsi="Times New Roman" w:cs="Times New Roman"/>
              </w:rPr>
              <w:t>În mii lei (RON)</w:t>
            </w:r>
          </w:p>
        </w:tc>
      </w:tr>
      <w:tr w:rsidR="00520BE3" w:rsidRPr="007B6888" w14:paraId="57D824B3" w14:textId="77777777" w:rsidTr="005A13C5">
        <w:tc>
          <w:tcPr>
            <w:tcW w:w="2694" w:type="dxa"/>
          </w:tcPr>
          <w:p w14:paraId="318BEE35" w14:textId="77777777" w:rsidR="00670C79" w:rsidRPr="007B6888" w:rsidRDefault="00670C79" w:rsidP="007C6AC2">
            <w:pPr>
              <w:pStyle w:val="Heading2"/>
              <w:spacing w:after="120"/>
              <w:rPr>
                <w:sz w:val="24"/>
              </w:rPr>
            </w:pPr>
            <w:r w:rsidRPr="007B6888">
              <w:rPr>
                <w:sz w:val="24"/>
              </w:rPr>
              <w:t>Indicatori</w:t>
            </w:r>
          </w:p>
        </w:tc>
        <w:tc>
          <w:tcPr>
            <w:tcW w:w="1058" w:type="dxa"/>
          </w:tcPr>
          <w:p w14:paraId="603E3C85" w14:textId="129C77CD" w:rsidR="00670C79" w:rsidRPr="007B6888" w:rsidRDefault="00670C79" w:rsidP="007C6AC2">
            <w:pPr>
              <w:spacing w:after="120"/>
              <w:jc w:val="center"/>
            </w:pPr>
            <w:r w:rsidRPr="007B6888">
              <w:t>An</w:t>
            </w:r>
            <w:r w:rsidR="009A76F9" w:rsidRPr="007B6888">
              <w:t>ul</w:t>
            </w:r>
            <w:r w:rsidRPr="007B6888">
              <w:t xml:space="preserve"> curent</w:t>
            </w:r>
          </w:p>
        </w:tc>
        <w:tc>
          <w:tcPr>
            <w:tcW w:w="5333" w:type="dxa"/>
            <w:gridSpan w:val="4"/>
          </w:tcPr>
          <w:p w14:paraId="4EA4AF47" w14:textId="77777777" w:rsidR="00670C79" w:rsidRPr="007B6888" w:rsidRDefault="00670C79" w:rsidP="007C6AC2">
            <w:pPr>
              <w:spacing w:after="120"/>
              <w:jc w:val="center"/>
            </w:pPr>
            <w:r w:rsidRPr="007B6888">
              <w:t>Următorii 4 ani</w:t>
            </w:r>
          </w:p>
        </w:tc>
        <w:tc>
          <w:tcPr>
            <w:tcW w:w="1448" w:type="dxa"/>
          </w:tcPr>
          <w:p w14:paraId="1EE52564" w14:textId="74A4CFA0" w:rsidR="00670C79" w:rsidRPr="007B6888" w:rsidRDefault="00670C79" w:rsidP="007C6AC2">
            <w:pPr>
              <w:spacing w:after="120"/>
              <w:jc w:val="center"/>
            </w:pPr>
            <w:r w:rsidRPr="007B6888">
              <w:t xml:space="preserve">Media </w:t>
            </w:r>
            <w:r w:rsidR="009A76F9" w:rsidRPr="007B6888">
              <w:t>pe</w:t>
            </w:r>
            <w:r w:rsidRPr="007B6888">
              <w:t xml:space="preserve"> 5 ani</w:t>
            </w:r>
          </w:p>
        </w:tc>
      </w:tr>
      <w:tr w:rsidR="00520BE3" w:rsidRPr="007B6888" w14:paraId="31AEB740" w14:textId="77777777" w:rsidTr="005A13C5">
        <w:tc>
          <w:tcPr>
            <w:tcW w:w="2694" w:type="dxa"/>
          </w:tcPr>
          <w:p w14:paraId="1A04C9C9" w14:textId="77777777" w:rsidR="00670C79" w:rsidRPr="007B6888" w:rsidRDefault="00670C79" w:rsidP="007C6AC2">
            <w:pPr>
              <w:spacing w:after="120"/>
              <w:jc w:val="center"/>
            </w:pPr>
            <w:r w:rsidRPr="007B6888">
              <w:t>1</w:t>
            </w:r>
          </w:p>
        </w:tc>
        <w:tc>
          <w:tcPr>
            <w:tcW w:w="1058" w:type="dxa"/>
            <w:vAlign w:val="center"/>
          </w:tcPr>
          <w:p w14:paraId="44BDE6EE" w14:textId="77777777" w:rsidR="00670C79" w:rsidRPr="007B6888" w:rsidRDefault="00670C79" w:rsidP="007C6AC2">
            <w:pPr>
              <w:spacing w:after="120"/>
              <w:jc w:val="center"/>
            </w:pPr>
            <w:r w:rsidRPr="007B6888">
              <w:t>2</w:t>
            </w:r>
          </w:p>
        </w:tc>
        <w:tc>
          <w:tcPr>
            <w:tcW w:w="1366" w:type="dxa"/>
            <w:vAlign w:val="center"/>
          </w:tcPr>
          <w:p w14:paraId="44511A2B" w14:textId="77777777" w:rsidR="00670C79" w:rsidRPr="007B6888" w:rsidRDefault="00670C79" w:rsidP="007C6AC2">
            <w:pPr>
              <w:spacing w:after="120"/>
              <w:jc w:val="center"/>
            </w:pPr>
            <w:r w:rsidRPr="007B6888">
              <w:t>3</w:t>
            </w:r>
          </w:p>
        </w:tc>
        <w:tc>
          <w:tcPr>
            <w:tcW w:w="1466" w:type="dxa"/>
            <w:vAlign w:val="center"/>
          </w:tcPr>
          <w:p w14:paraId="7665B810" w14:textId="77777777" w:rsidR="00670C79" w:rsidRPr="007B6888" w:rsidRDefault="00670C79" w:rsidP="007C6AC2">
            <w:pPr>
              <w:spacing w:after="120"/>
              <w:jc w:val="center"/>
            </w:pPr>
            <w:r w:rsidRPr="007B6888">
              <w:t>4</w:t>
            </w:r>
          </w:p>
        </w:tc>
        <w:tc>
          <w:tcPr>
            <w:tcW w:w="1366" w:type="dxa"/>
            <w:vAlign w:val="center"/>
          </w:tcPr>
          <w:p w14:paraId="375332DA" w14:textId="77777777" w:rsidR="00670C79" w:rsidRPr="007B6888" w:rsidRDefault="00670C79" w:rsidP="007C6AC2">
            <w:pPr>
              <w:spacing w:after="120"/>
              <w:jc w:val="center"/>
            </w:pPr>
            <w:r w:rsidRPr="007B6888">
              <w:t>5</w:t>
            </w:r>
          </w:p>
        </w:tc>
        <w:tc>
          <w:tcPr>
            <w:tcW w:w="1135" w:type="dxa"/>
            <w:vAlign w:val="center"/>
          </w:tcPr>
          <w:p w14:paraId="0DD2A48C" w14:textId="77777777" w:rsidR="00670C79" w:rsidRPr="007B6888" w:rsidRDefault="00670C79" w:rsidP="007C6AC2">
            <w:pPr>
              <w:spacing w:after="120"/>
              <w:jc w:val="center"/>
            </w:pPr>
            <w:r w:rsidRPr="007B6888">
              <w:t>6</w:t>
            </w:r>
          </w:p>
        </w:tc>
        <w:tc>
          <w:tcPr>
            <w:tcW w:w="1448" w:type="dxa"/>
            <w:vAlign w:val="center"/>
          </w:tcPr>
          <w:p w14:paraId="64FF500C" w14:textId="77777777" w:rsidR="00670C79" w:rsidRPr="007B6888" w:rsidRDefault="00670C79" w:rsidP="007C6AC2">
            <w:pPr>
              <w:spacing w:after="120"/>
              <w:jc w:val="center"/>
            </w:pPr>
            <w:r w:rsidRPr="007B6888">
              <w:t>7</w:t>
            </w:r>
          </w:p>
        </w:tc>
      </w:tr>
      <w:tr w:rsidR="00520BE3" w:rsidRPr="007B6888" w14:paraId="24F374CE" w14:textId="77777777" w:rsidTr="005A13C5">
        <w:tc>
          <w:tcPr>
            <w:tcW w:w="2694" w:type="dxa"/>
          </w:tcPr>
          <w:p w14:paraId="7075F3AB" w14:textId="3D2A3576" w:rsidR="0025682E" w:rsidRPr="007B6888" w:rsidRDefault="00CD28D5" w:rsidP="007C6AC2">
            <w:pPr>
              <w:spacing w:after="120"/>
              <w:jc w:val="both"/>
              <w:rPr>
                <w:b/>
                <w:bCs/>
              </w:rPr>
            </w:pPr>
            <w:r w:rsidRPr="007B6888">
              <w:rPr>
                <w:b/>
                <w:bCs/>
              </w:rPr>
              <w:t>4.</w:t>
            </w:r>
            <w:r w:rsidR="00670C79" w:rsidRPr="007B6888">
              <w:rPr>
                <w:b/>
                <w:bCs/>
              </w:rPr>
              <w:t>1.</w:t>
            </w:r>
            <w:r w:rsidRPr="007B6888">
              <w:rPr>
                <w:b/>
                <w:bCs/>
              </w:rPr>
              <w:t xml:space="preserve"> </w:t>
            </w:r>
            <w:r w:rsidR="00670C79" w:rsidRPr="007B6888">
              <w:rPr>
                <w:b/>
                <w:bCs/>
              </w:rPr>
              <w:t>Modificări ale veniturilor bugetare, plus/minus, din care:</w:t>
            </w:r>
          </w:p>
        </w:tc>
        <w:tc>
          <w:tcPr>
            <w:tcW w:w="1058" w:type="dxa"/>
          </w:tcPr>
          <w:p w14:paraId="7811CDB2" w14:textId="77777777" w:rsidR="00670C79" w:rsidRPr="007B6888" w:rsidRDefault="00670C79" w:rsidP="007C6AC2">
            <w:pPr>
              <w:pStyle w:val="BodyText2"/>
              <w:spacing w:after="120"/>
              <w:rPr>
                <w:sz w:val="24"/>
              </w:rPr>
            </w:pPr>
          </w:p>
        </w:tc>
        <w:tc>
          <w:tcPr>
            <w:tcW w:w="1366" w:type="dxa"/>
          </w:tcPr>
          <w:p w14:paraId="5E0D1921" w14:textId="77777777" w:rsidR="00670C79" w:rsidRPr="007B6888" w:rsidRDefault="00670C79" w:rsidP="007C6AC2">
            <w:pPr>
              <w:pStyle w:val="BodyText2"/>
              <w:spacing w:after="120"/>
              <w:rPr>
                <w:sz w:val="24"/>
              </w:rPr>
            </w:pPr>
          </w:p>
        </w:tc>
        <w:tc>
          <w:tcPr>
            <w:tcW w:w="1466" w:type="dxa"/>
          </w:tcPr>
          <w:p w14:paraId="3789DD62" w14:textId="77777777" w:rsidR="00670C79" w:rsidRPr="007B6888" w:rsidRDefault="00670C79" w:rsidP="007C6AC2">
            <w:pPr>
              <w:pStyle w:val="BodyText2"/>
              <w:spacing w:after="120"/>
              <w:rPr>
                <w:sz w:val="24"/>
              </w:rPr>
            </w:pPr>
          </w:p>
        </w:tc>
        <w:tc>
          <w:tcPr>
            <w:tcW w:w="1366" w:type="dxa"/>
          </w:tcPr>
          <w:p w14:paraId="3EFEBCA3" w14:textId="77777777" w:rsidR="00670C79" w:rsidRPr="007B6888" w:rsidRDefault="00670C79" w:rsidP="007C6AC2">
            <w:pPr>
              <w:pStyle w:val="BodyText2"/>
              <w:spacing w:after="120"/>
              <w:rPr>
                <w:sz w:val="24"/>
              </w:rPr>
            </w:pPr>
          </w:p>
        </w:tc>
        <w:tc>
          <w:tcPr>
            <w:tcW w:w="1135" w:type="dxa"/>
          </w:tcPr>
          <w:p w14:paraId="4D97905B" w14:textId="77777777" w:rsidR="00670C79" w:rsidRPr="007B6888" w:rsidRDefault="00670C79" w:rsidP="007C6AC2">
            <w:pPr>
              <w:pStyle w:val="BodyText2"/>
              <w:spacing w:after="120"/>
              <w:rPr>
                <w:sz w:val="24"/>
              </w:rPr>
            </w:pPr>
          </w:p>
        </w:tc>
        <w:tc>
          <w:tcPr>
            <w:tcW w:w="1448" w:type="dxa"/>
          </w:tcPr>
          <w:p w14:paraId="4A89D66A" w14:textId="77777777" w:rsidR="00670C79" w:rsidRPr="007B6888" w:rsidRDefault="00670C79" w:rsidP="007C6AC2">
            <w:pPr>
              <w:pStyle w:val="BodyText2"/>
              <w:spacing w:after="120"/>
              <w:rPr>
                <w:sz w:val="24"/>
              </w:rPr>
            </w:pPr>
          </w:p>
        </w:tc>
      </w:tr>
      <w:tr w:rsidR="003A367D" w:rsidRPr="007B6888" w14:paraId="7E845381" w14:textId="77777777" w:rsidTr="005A13C5">
        <w:tc>
          <w:tcPr>
            <w:tcW w:w="2694" w:type="dxa"/>
          </w:tcPr>
          <w:p w14:paraId="25792053" w14:textId="77777777" w:rsidR="003A367D" w:rsidRPr="007B6888" w:rsidRDefault="003A367D" w:rsidP="007C6AC2">
            <w:pPr>
              <w:spacing w:after="120"/>
              <w:jc w:val="both"/>
            </w:pPr>
            <w:r w:rsidRPr="007B6888">
              <w:t>a) bugetul de stat, din acesta:</w:t>
            </w:r>
          </w:p>
          <w:p w14:paraId="32D9DBFB" w14:textId="15A036BA" w:rsidR="003A367D" w:rsidRPr="007B6888" w:rsidRDefault="00CD28D5" w:rsidP="007C6AC2">
            <w:pPr>
              <w:spacing w:after="120"/>
              <w:jc w:val="both"/>
            </w:pPr>
            <w:r w:rsidRPr="007B6888">
              <w:t xml:space="preserve">(i) </w:t>
            </w:r>
            <w:r w:rsidR="003A367D" w:rsidRPr="007B6888">
              <w:t>impozit pe profit</w:t>
            </w:r>
          </w:p>
          <w:p w14:paraId="67C4E169" w14:textId="0BD99910" w:rsidR="003A367D" w:rsidRPr="007B6888" w:rsidRDefault="00CD28D5" w:rsidP="007C6AC2">
            <w:pPr>
              <w:spacing w:after="120"/>
              <w:jc w:val="both"/>
            </w:pPr>
            <w:r w:rsidRPr="007B6888">
              <w:t xml:space="preserve">(ii) </w:t>
            </w:r>
            <w:r w:rsidR="003A367D" w:rsidRPr="007B6888">
              <w:t>impozit pe venit</w:t>
            </w:r>
          </w:p>
        </w:tc>
        <w:tc>
          <w:tcPr>
            <w:tcW w:w="1058" w:type="dxa"/>
          </w:tcPr>
          <w:p w14:paraId="07086A97" w14:textId="77777777" w:rsidR="003A367D" w:rsidRPr="007B6888" w:rsidRDefault="003A367D" w:rsidP="007C6AC2">
            <w:pPr>
              <w:pStyle w:val="BodyText2"/>
              <w:spacing w:after="120"/>
              <w:rPr>
                <w:sz w:val="24"/>
              </w:rPr>
            </w:pPr>
          </w:p>
        </w:tc>
        <w:tc>
          <w:tcPr>
            <w:tcW w:w="1366" w:type="dxa"/>
          </w:tcPr>
          <w:p w14:paraId="68EDD67B" w14:textId="77777777" w:rsidR="003A367D" w:rsidRPr="007B6888" w:rsidRDefault="003A367D" w:rsidP="007C6AC2">
            <w:pPr>
              <w:pStyle w:val="BodyText2"/>
              <w:spacing w:after="120"/>
              <w:rPr>
                <w:sz w:val="24"/>
              </w:rPr>
            </w:pPr>
          </w:p>
        </w:tc>
        <w:tc>
          <w:tcPr>
            <w:tcW w:w="1466" w:type="dxa"/>
          </w:tcPr>
          <w:p w14:paraId="074A0C4C" w14:textId="77777777" w:rsidR="003A367D" w:rsidRPr="007B6888" w:rsidRDefault="003A367D" w:rsidP="007C6AC2">
            <w:pPr>
              <w:pStyle w:val="BodyText2"/>
              <w:spacing w:after="120"/>
              <w:rPr>
                <w:sz w:val="24"/>
              </w:rPr>
            </w:pPr>
          </w:p>
        </w:tc>
        <w:tc>
          <w:tcPr>
            <w:tcW w:w="1366" w:type="dxa"/>
          </w:tcPr>
          <w:p w14:paraId="3EC66A65" w14:textId="77777777" w:rsidR="003A367D" w:rsidRPr="007B6888" w:rsidRDefault="003A367D" w:rsidP="007C6AC2">
            <w:pPr>
              <w:pStyle w:val="BodyText2"/>
              <w:spacing w:after="120"/>
              <w:rPr>
                <w:sz w:val="24"/>
              </w:rPr>
            </w:pPr>
          </w:p>
        </w:tc>
        <w:tc>
          <w:tcPr>
            <w:tcW w:w="1135" w:type="dxa"/>
          </w:tcPr>
          <w:p w14:paraId="5CEC73AA" w14:textId="77777777" w:rsidR="003A367D" w:rsidRPr="007B6888" w:rsidRDefault="003A367D" w:rsidP="007C6AC2">
            <w:pPr>
              <w:pStyle w:val="BodyText2"/>
              <w:spacing w:after="120"/>
              <w:rPr>
                <w:sz w:val="24"/>
              </w:rPr>
            </w:pPr>
          </w:p>
        </w:tc>
        <w:tc>
          <w:tcPr>
            <w:tcW w:w="1448" w:type="dxa"/>
          </w:tcPr>
          <w:p w14:paraId="761E2BD4" w14:textId="77777777" w:rsidR="003A367D" w:rsidRPr="007B6888" w:rsidRDefault="003A367D" w:rsidP="007C6AC2">
            <w:pPr>
              <w:pStyle w:val="BodyText2"/>
              <w:spacing w:after="120"/>
              <w:rPr>
                <w:sz w:val="24"/>
              </w:rPr>
            </w:pPr>
          </w:p>
        </w:tc>
      </w:tr>
      <w:tr w:rsidR="003A367D" w:rsidRPr="007B6888" w14:paraId="6771B99C" w14:textId="77777777" w:rsidTr="005A13C5">
        <w:tc>
          <w:tcPr>
            <w:tcW w:w="2694" w:type="dxa"/>
          </w:tcPr>
          <w:p w14:paraId="6A8A0E7F" w14:textId="577483D3" w:rsidR="003A367D" w:rsidRPr="007B6888" w:rsidRDefault="003A367D" w:rsidP="007C6AC2">
            <w:pPr>
              <w:spacing w:after="120"/>
              <w:jc w:val="both"/>
            </w:pPr>
            <w:r w:rsidRPr="007B6888">
              <w:t>b) bugete locale:</w:t>
            </w:r>
          </w:p>
          <w:p w14:paraId="3B0FCECB" w14:textId="7AB36B1B" w:rsidR="003A367D" w:rsidRPr="007B6888" w:rsidRDefault="00CD28D5" w:rsidP="007C6AC2">
            <w:pPr>
              <w:spacing w:after="120"/>
              <w:jc w:val="both"/>
            </w:pPr>
            <w:r w:rsidRPr="007B6888">
              <w:t xml:space="preserve">(i) </w:t>
            </w:r>
            <w:r w:rsidR="003A367D" w:rsidRPr="007B6888">
              <w:t>impozit pe profit</w:t>
            </w:r>
          </w:p>
        </w:tc>
        <w:tc>
          <w:tcPr>
            <w:tcW w:w="1058" w:type="dxa"/>
          </w:tcPr>
          <w:p w14:paraId="687D0BEC" w14:textId="77777777" w:rsidR="003A367D" w:rsidRPr="007B6888" w:rsidRDefault="003A367D" w:rsidP="007C6AC2">
            <w:pPr>
              <w:pStyle w:val="BodyText2"/>
              <w:spacing w:after="120"/>
              <w:rPr>
                <w:sz w:val="24"/>
              </w:rPr>
            </w:pPr>
          </w:p>
        </w:tc>
        <w:tc>
          <w:tcPr>
            <w:tcW w:w="1366" w:type="dxa"/>
          </w:tcPr>
          <w:p w14:paraId="203F5632" w14:textId="77777777" w:rsidR="003A367D" w:rsidRPr="007B6888" w:rsidRDefault="003A367D" w:rsidP="007C6AC2">
            <w:pPr>
              <w:pStyle w:val="BodyText2"/>
              <w:spacing w:after="120"/>
              <w:rPr>
                <w:sz w:val="24"/>
              </w:rPr>
            </w:pPr>
          </w:p>
        </w:tc>
        <w:tc>
          <w:tcPr>
            <w:tcW w:w="1466" w:type="dxa"/>
          </w:tcPr>
          <w:p w14:paraId="38DA8080" w14:textId="77777777" w:rsidR="003A367D" w:rsidRPr="007B6888" w:rsidRDefault="003A367D" w:rsidP="007C6AC2">
            <w:pPr>
              <w:pStyle w:val="BodyText2"/>
              <w:spacing w:after="120"/>
              <w:rPr>
                <w:sz w:val="24"/>
              </w:rPr>
            </w:pPr>
          </w:p>
        </w:tc>
        <w:tc>
          <w:tcPr>
            <w:tcW w:w="1366" w:type="dxa"/>
          </w:tcPr>
          <w:p w14:paraId="31807B27" w14:textId="77777777" w:rsidR="003A367D" w:rsidRPr="007B6888" w:rsidRDefault="003A367D" w:rsidP="007C6AC2">
            <w:pPr>
              <w:pStyle w:val="BodyText2"/>
              <w:spacing w:after="120"/>
              <w:rPr>
                <w:sz w:val="24"/>
              </w:rPr>
            </w:pPr>
          </w:p>
        </w:tc>
        <w:tc>
          <w:tcPr>
            <w:tcW w:w="1135" w:type="dxa"/>
          </w:tcPr>
          <w:p w14:paraId="29015A0A" w14:textId="77777777" w:rsidR="003A367D" w:rsidRPr="007B6888" w:rsidRDefault="003A367D" w:rsidP="007C6AC2">
            <w:pPr>
              <w:pStyle w:val="BodyText2"/>
              <w:spacing w:after="120"/>
              <w:rPr>
                <w:sz w:val="24"/>
              </w:rPr>
            </w:pPr>
          </w:p>
        </w:tc>
        <w:tc>
          <w:tcPr>
            <w:tcW w:w="1448" w:type="dxa"/>
          </w:tcPr>
          <w:p w14:paraId="33E8076D" w14:textId="77777777" w:rsidR="003A367D" w:rsidRPr="007B6888" w:rsidRDefault="003A367D" w:rsidP="007C6AC2">
            <w:pPr>
              <w:pStyle w:val="BodyText2"/>
              <w:spacing w:after="120"/>
              <w:rPr>
                <w:sz w:val="24"/>
              </w:rPr>
            </w:pPr>
          </w:p>
        </w:tc>
      </w:tr>
      <w:tr w:rsidR="003A367D" w:rsidRPr="007B6888" w14:paraId="3ECF4DE7" w14:textId="77777777" w:rsidTr="005A13C5">
        <w:tc>
          <w:tcPr>
            <w:tcW w:w="2694" w:type="dxa"/>
          </w:tcPr>
          <w:p w14:paraId="454D76E8" w14:textId="401F8F98" w:rsidR="003A367D" w:rsidRPr="007B6888" w:rsidRDefault="003A367D" w:rsidP="007C6AC2">
            <w:pPr>
              <w:spacing w:after="120"/>
              <w:jc w:val="both"/>
            </w:pPr>
            <w:r w:rsidRPr="007B6888">
              <w:t>c) bugetul asigurărilor sociale</w:t>
            </w:r>
            <w:r w:rsidR="00CD13F8" w:rsidRPr="007B6888">
              <w:t xml:space="preserve"> de stat</w:t>
            </w:r>
          </w:p>
          <w:p w14:paraId="551EFD10" w14:textId="329FFFC6" w:rsidR="003A367D" w:rsidRPr="007B6888" w:rsidRDefault="00CD28D5" w:rsidP="007C6AC2">
            <w:pPr>
              <w:spacing w:after="120"/>
              <w:jc w:val="both"/>
            </w:pPr>
            <w:r w:rsidRPr="007B6888">
              <w:t xml:space="preserve">(i) </w:t>
            </w:r>
            <w:r w:rsidR="00695862" w:rsidRPr="007B6888">
              <w:t>contribuții</w:t>
            </w:r>
            <w:r w:rsidR="003A367D" w:rsidRPr="007B6888">
              <w:t xml:space="preserve"> de asigurări</w:t>
            </w:r>
          </w:p>
        </w:tc>
        <w:tc>
          <w:tcPr>
            <w:tcW w:w="1058" w:type="dxa"/>
          </w:tcPr>
          <w:p w14:paraId="20DF36E4" w14:textId="77777777" w:rsidR="003A367D" w:rsidRPr="007B6888" w:rsidRDefault="003A367D" w:rsidP="007C6AC2">
            <w:pPr>
              <w:pStyle w:val="BodyText2"/>
              <w:spacing w:after="120"/>
              <w:rPr>
                <w:sz w:val="24"/>
              </w:rPr>
            </w:pPr>
          </w:p>
        </w:tc>
        <w:tc>
          <w:tcPr>
            <w:tcW w:w="1366" w:type="dxa"/>
          </w:tcPr>
          <w:p w14:paraId="2E4987C5" w14:textId="77777777" w:rsidR="003A367D" w:rsidRPr="007B6888" w:rsidRDefault="003A367D" w:rsidP="007C6AC2">
            <w:pPr>
              <w:pStyle w:val="BodyText2"/>
              <w:spacing w:after="120"/>
              <w:rPr>
                <w:sz w:val="24"/>
              </w:rPr>
            </w:pPr>
          </w:p>
        </w:tc>
        <w:tc>
          <w:tcPr>
            <w:tcW w:w="1466" w:type="dxa"/>
          </w:tcPr>
          <w:p w14:paraId="55EA5A38" w14:textId="77777777" w:rsidR="003A367D" w:rsidRPr="007B6888" w:rsidRDefault="003A367D" w:rsidP="007C6AC2">
            <w:pPr>
              <w:pStyle w:val="BodyText2"/>
              <w:spacing w:after="120"/>
              <w:rPr>
                <w:sz w:val="24"/>
              </w:rPr>
            </w:pPr>
          </w:p>
        </w:tc>
        <w:tc>
          <w:tcPr>
            <w:tcW w:w="1366" w:type="dxa"/>
          </w:tcPr>
          <w:p w14:paraId="1A940564" w14:textId="77777777" w:rsidR="003A367D" w:rsidRPr="007B6888" w:rsidRDefault="003A367D" w:rsidP="007C6AC2">
            <w:pPr>
              <w:pStyle w:val="BodyText2"/>
              <w:spacing w:after="120"/>
              <w:rPr>
                <w:sz w:val="24"/>
              </w:rPr>
            </w:pPr>
          </w:p>
        </w:tc>
        <w:tc>
          <w:tcPr>
            <w:tcW w:w="1135" w:type="dxa"/>
          </w:tcPr>
          <w:p w14:paraId="3B9F8826" w14:textId="77777777" w:rsidR="003A367D" w:rsidRPr="007B6888" w:rsidRDefault="003A367D" w:rsidP="007C6AC2">
            <w:pPr>
              <w:pStyle w:val="BodyText2"/>
              <w:spacing w:after="120"/>
              <w:rPr>
                <w:sz w:val="24"/>
              </w:rPr>
            </w:pPr>
          </w:p>
        </w:tc>
        <w:tc>
          <w:tcPr>
            <w:tcW w:w="1448" w:type="dxa"/>
          </w:tcPr>
          <w:p w14:paraId="7236E3D5" w14:textId="77777777" w:rsidR="003A367D" w:rsidRPr="007B6888" w:rsidRDefault="003A367D" w:rsidP="007C6AC2">
            <w:pPr>
              <w:pStyle w:val="BodyText2"/>
              <w:spacing w:after="120"/>
              <w:rPr>
                <w:sz w:val="24"/>
              </w:rPr>
            </w:pPr>
          </w:p>
        </w:tc>
      </w:tr>
      <w:tr w:rsidR="003A367D" w:rsidRPr="007B6888" w14:paraId="3B61ACE7" w14:textId="77777777" w:rsidTr="005A13C5">
        <w:tc>
          <w:tcPr>
            <w:tcW w:w="2694" w:type="dxa"/>
          </w:tcPr>
          <w:p w14:paraId="62FD1E56" w14:textId="77777777" w:rsidR="003A367D" w:rsidRPr="007B6888" w:rsidRDefault="003A367D" w:rsidP="007C6AC2">
            <w:pPr>
              <w:spacing w:after="120"/>
              <w:jc w:val="both"/>
            </w:pPr>
            <w:r w:rsidRPr="007B6888">
              <w:t xml:space="preserve">d) </w:t>
            </w:r>
            <w:r w:rsidR="00A20D72" w:rsidRPr="007B6888">
              <w:t>alte tipuri de venituri</w:t>
            </w:r>
          </w:p>
          <w:p w14:paraId="5EB8BD87" w14:textId="4527B335" w:rsidR="00A20D72" w:rsidRPr="007B6888" w:rsidRDefault="00A20D72" w:rsidP="007C6AC2">
            <w:pPr>
              <w:spacing w:after="120"/>
              <w:jc w:val="both"/>
            </w:pPr>
            <w:r w:rsidRPr="007B6888">
              <w:t>(</w:t>
            </w:r>
            <w:r w:rsidR="00EF284D" w:rsidRPr="007B6888">
              <w:t>S</w:t>
            </w:r>
            <w:r w:rsidRPr="007B6888">
              <w:t>e va menționa natura acestora</w:t>
            </w:r>
            <w:r w:rsidR="00A82648" w:rsidRPr="007B6888">
              <w:t>.</w:t>
            </w:r>
            <w:r w:rsidRPr="007B6888">
              <w:t xml:space="preserve">) </w:t>
            </w:r>
          </w:p>
        </w:tc>
        <w:tc>
          <w:tcPr>
            <w:tcW w:w="1058" w:type="dxa"/>
          </w:tcPr>
          <w:p w14:paraId="704BCA51" w14:textId="77777777" w:rsidR="003A367D" w:rsidRPr="007B6888" w:rsidRDefault="003A367D" w:rsidP="007C6AC2">
            <w:pPr>
              <w:pStyle w:val="BodyText2"/>
              <w:spacing w:after="120"/>
              <w:rPr>
                <w:sz w:val="24"/>
              </w:rPr>
            </w:pPr>
          </w:p>
        </w:tc>
        <w:tc>
          <w:tcPr>
            <w:tcW w:w="1366" w:type="dxa"/>
          </w:tcPr>
          <w:p w14:paraId="269D834F" w14:textId="77777777" w:rsidR="003A367D" w:rsidRPr="007B6888" w:rsidRDefault="003A367D" w:rsidP="007C6AC2">
            <w:pPr>
              <w:pStyle w:val="BodyText2"/>
              <w:spacing w:after="120"/>
              <w:rPr>
                <w:sz w:val="24"/>
              </w:rPr>
            </w:pPr>
          </w:p>
        </w:tc>
        <w:tc>
          <w:tcPr>
            <w:tcW w:w="1466" w:type="dxa"/>
          </w:tcPr>
          <w:p w14:paraId="03C3272C" w14:textId="77777777" w:rsidR="003A367D" w:rsidRPr="007B6888" w:rsidRDefault="003A367D" w:rsidP="007C6AC2">
            <w:pPr>
              <w:pStyle w:val="BodyText2"/>
              <w:spacing w:after="120"/>
              <w:rPr>
                <w:sz w:val="24"/>
              </w:rPr>
            </w:pPr>
          </w:p>
        </w:tc>
        <w:tc>
          <w:tcPr>
            <w:tcW w:w="1366" w:type="dxa"/>
          </w:tcPr>
          <w:p w14:paraId="70C282AC" w14:textId="77777777" w:rsidR="003A367D" w:rsidRPr="007B6888" w:rsidRDefault="003A367D" w:rsidP="007C6AC2">
            <w:pPr>
              <w:pStyle w:val="BodyText2"/>
              <w:spacing w:after="120"/>
              <w:rPr>
                <w:sz w:val="24"/>
              </w:rPr>
            </w:pPr>
          </w:p>
        </w:tc>
        <w:tc>
          <w:tcPr>
            <w:tcW w:w="1135" w:type="dxa"/>
          </w:tcPr>
          <w:p w14:paraId="711BE975" w14:textId="77777777" w:rsidR="003A367D" w:rsidRPr="007B6888" w:rsidRDefault="003A367D" w:rsidP="007C6AC2">
            <w:pPr>
              <w:pStyle w:val="BodyText2"/>
              <w:spacing w:after="120"/>
              <w:rPr>
                <w:sz w:val="24"/>
              </w:rPr>
            </w:pPr>
          </w:p>
        </w:tc>
        <w:tc>
          <w:tcPr>
            <w:tcW w:w="1448" w:type="dxa"/>
          </w:tcPr>
          <w:p w14:paraId="56D819C6" w14:textId="77777777" w:rsidR="003A367D" w:rsidRPr="007B6888" w:rsidRDefault="003A367D" w:rsidP="007C6AC2">
            <w:pPr>
              <w:pStyle w:val="BodyText2"/>
              <w:spacing w:after="120"/>
              <w:rPr>
                <w:sz w:val="24"/>
              </w:rPr>
            </w:pPr>
          </w:p>
        </w:tc>
      </w:tr>
      <w:tr w:rsidR="00520BE3" w:rsidRPr="007B6888" w14:paraId="126F1061" w14:textId="77777777" w:rsidTr="005A13C5">
        <w:tc>
          <w:tcPr>
            <w:tcW w:w="2694" w:type="dxa"/>
          </w:tcPr>
          <w:p w14:paraId="1415B230" w14:textId="72A3E85F" w:rsidR="0025682E" w:rsidRPr="007B6888" w:rsidRDefault="00CD28D5" w:rsidP="007C6AC2">
            <w:pPr>
              <w:spacing w:after="120"/>
              <w:jc w:val="both"/>
              <w:rPr>
                <w:b/>
                <w:bCs/>
              </w:rPr>
            </w:pPr>
            <w:r w:rsidRPr="007B6888">
              <w:rPr>
                <w:b/>
                <w:bCs/>
              </w:rPr>
              <w:t>4.</w:t>
            </w:r>
            <w:r w:rsidR="00ED5D29" w:rsidRPr="007B6888">
              <w:rPr>
                <w:b/>
                <w:bCs/>
              </w:rPr>
              <w:t>2.</w:t>
            </w:r>
            <w:r w:rsidRPr="007B6888">
              <w:rPr>
                <w:b/>
                <w:bCs/>
              </w:rPr>
              <w:t xml:space="preserve"> </w:t>
            </w:r>
            <w:r w:rsidR="00ED5D29" w:rsidRPr="007B6888">
              <w:rPr>
                <w:b/>
                <w:bCs/>
              </w:rPr>
              <w:t>Modificări ale cheltuielilor bugetare</w:t>
            </w:r>
            <w:r w:rsidR="00A82648" w:rsidRPr="007B6888">
              <w:rPr>
                <w:b/>
                <w:bCs/>
              </w:rPr>
              <w:t>, plus/minus,</w:t>
            </w:r>
            <w:r w:rsidR="00ED5D29" w:rsidRPr="007B6888">
              <w:rPr>
                <w:b/>
                <w:bCs/>
              </w:rPr>
              <w:t xml:space="preserve"> din care:</w:t>
            </w:r>
          </w:p>
        </w:tc>
        <w:tc>
          <w:tcPr>
            <w:tcW w:w="1058" w:type="dxa"/>
          </w:tcPr>
          <w:p w14:paraId="7BB1C451" w14:textId="3A3864A6" w:rsidR="00E62BA0" w:rsidRPr="007B6888" w:rsidRDefault="00E62BA0" w:rsidP="007C6AC2">
            <w:pPr>
              <w:spacing w:after="120"/>
              <w:jc w:val="center"/>
            </w:pPr>
          </w:p>
        </w:tc>
        <w:tc>
          <w:tcPr>
            <w:tcW w:w="1366" w:type="dxa"/>
          </w:tcPr>
          <w:p w14:paraId="44C5A3FF" w14:textId="75FE5CBB" w:rsidR="00E62BA0" w:rsidRPr="007B6888" w:rsidRDefault="00E62BA0" w:rsidP="007C6AC2">
            <w:pPr>
              <w:spacing w:after="120"/>
              <w:jc w:val="center"/>
            </w:pPr>
          </w:p>
        </w:tc>
        <w:tc>
          <w:tcPr>
            <w:tcW w:w="1466" w:type="dxa"/>
          </w:tcPr>
          <w:p w14:paraId="1702DFD2" w14:textId="6D9B32F2" w:rsidR="00E62BA0" w:rsidRPr="007B6888" w:rsidRDefault="00E62BA0" w:rsidP="007C6AC2">
            <w:pPr>
              <w:spacing w:after="120"/>
              <w:jc w:val="center"/>
            </w:pPr>
          </w:p>
        </w:tc>
        <w:tc>
          <w:tcPr>
            <w:tcW w:w="1366" w:type="dxa"/>
          </w:tcPr>
          <w:p w14:paraId="1D7B38D6" w14:textId="659DB0F9" w:rsidR="00E62BA0" w:rsidRPr="007B6888" w:rsidRDefault="00E62BA0" w:rsidP="007C6AC2">
            <w:pPr>
              <w:spacing w:after="120"/>
              <w:jc w:val="center"/>
            </w:pPr>
          </w:p>
        </w:tc>
        <w:tc>
          <w:tcPr>
            <w:tcW w:w="1135" w:type="dxa"/>
          </w:tcPr>
          <w:p w14:paraId="09F7CD9E" w14:textId="2AFA766B" w:rsidR="00E62BA0" w:rsidRPr="007B6888" w:rsidRDefault="00E62BA0" w:rsidP="007C6AC2">
            <w:pPr>
              <w:spacing w:after="120"/>
              <w:jc w:val="center"/>
            </w:pPr>
          </w:p>
        </w:tc>
        <w:tc>
          <w:tcPr>
            <w:tcW w:w="1448" w:type="dxa"/>
          </w:tcPr>
          <w:p w14:paraId="16493B27" w14:textId="191A8F5C" w:rsidR="00E62BA0" w:rsidRPr="007B6888" w:rsidRDefault="00E62BA0" w:rsidP="007C6AC2">
            <w:pPr>
              <w:spacing w:after="120"/>
              <w:jc w:val="center"/>
            </w:pPr>
          </w:p>
        </w:tc>
      </w:tr>
      <w:tr w:rsidR="00CD28D5" w:rsidRPr="007B6888" w14:paraId="408E6817" w14:textId="77777777" w:rsidTr="005A13C5">
        <w:tc>
          <w:tcPr>
            <w:tcW w:w="2694" w:type="dxa"/>
          </w:tcPr>
          <w:p w14:paraId="2D265B20" w14:textId="19563007" w:rsidR="00CD28D5" w:rsidRPr="007B6888" w:rsidRDefault="00CD28D5" w:rsidP="007C6AC2">
            <w:pPr>
              <w:spacing w:after="120"/>
              <w:jc w:val="both"/>
            </w:pPr>
            <w:r w:rsidRPr="007B6888">
              <w:t>a) buget de stat, din acesta:</w:t>
            </w:r>
          </w:p>
          <w:p w14:paraId="3382ADB9" w14:textId="31517959" w:rsidR="00CD28D5" w:rsidRPr="007B6888" w:rsidRDefault="00CD28D5" w:rsidP="007C6AC2">
            <w:pPr>
              <w:spacing w:after="120"/>
              <w:jc w:val="both"/>
            </w:pPr>
            <w:r w:rsidRPr="007B6888">
              <w:t>(i) cheltuieli de personal</w:t>
            </w:r>
          </w:p>
          <w:p w14:paraId="2AF2C20C" w14:textId="24F90ED4" w:rsidR="00CD28D5" w:rsidRPr="007B6888" w:rsidRDefault="00CD28D5" w:rsidP="007C6AC2">
            <w:pPr>
              <w:spacing w:after="120"/>
              <w:jc w:val="both"/>
            </w:pPr>
            <w:r w:rsidRPr="007B6888">
              <w:lastRenderedPageBreak/>
              <w:t>(ii) bunuri şi servicii</w:t>
            </w:r>
          </w:p>
        </w:tc>
        <w:tc>
          <w:tcPr>
            <w:tcW w:w="1058" w:type="dxa"/>
          </w:tcPr>
          <w:p w14:paraId="3E0B1602" w14:textId="77777777" w:rsidR="00CD28D5" w:rsidRPr="007B6888" w:rsidRDefault="00CD28D5" w:rsidP="007C6AC2">
            <w:pPr>
              <w:spacing w:after="120"/>
              <w:jc w:val="center"/>
            </w:pPr>
          </w:p>
        </w:tc>
        <w:tc>
          <w:tcPr>
            <w:tcW w:w="1366" w:type="dxa"/>
          </w:tcPr>
          <w:p w14:paraId="4A5827CA" w14:textId="77777777" w:rsidR="00CD28D5" w:rsidRPr="007B6888" w:rsidRDefault="00CD28D5" w:rsidP="007C6AC2">
            <w:pPr>
              <w:spacing w:after="120"/>
              <w:jc w:val="center"/>
            </w:pPr>
          </w:p>
        </w:tc>
        <w:tc>
          <w:tcPr>
            <w:tcW w:w="1466" w:type="dxa"/>
          </w:tcPr>
          <w:p w14:paraId="32FB3ACA" w14:textId="77777777" w:rsidR="00CD28D5" w:rsidRPr="007B6888" w:rsidRDefault="00CD28D5" w:rsidP="007C6AC2">
            <w:pPr>
              <w:spacing w:after="120"/>
              <w:jc w:val="center"/>
            </w:pPr>
          </w:p>
        </w:tc>
        <w:tc>
          <w:tcPr>
            <w:tcW w:w="1366" w:type="dxa"/>
          </w:tcPr>
          <w:p w14:paraId="6B0B1905" w14:textId="77777777" w:rsidR="00CD28D5" w:rsidRPr="007B6888" w:rsidRDefault="00CD28D5" w:rsidP="007C6AC2">
            <w:pPr>
              <w:spacing w:after="120"/>
              <w:jc w:val="center"/>
            </w:pPr>
          </w:p>
        </w:tc>
        <w:tc>
          <w:tcPr>
            <w:tcW w:w="1135" w:type="dxa"/>
          </w:tcPr>
          <w:p w14:paraId="23CBB327" w14:textId="77777777" w:rsidR="00CD28D5" w:rsidRPr="007B6888" w:rsidRDefault="00CD28D5" w:rsidP="007C6AC2">
            <w:pPr>
              <w:spacing w:after="120"/>
              <w:jc w:val="center"/>
            </w:pPr>
          </w:p>
        </w:tc>
        <w:tc>
          <w:tcPr>
            <w:tcW w:w="1448" w:type="dxa"/>
          </w:tcPr>
          <w:p w14:paraId="58A4AD04" w14:textId="77777777" w:rsidR="00CD28D5" w:rsidRPr="007B6888" w:rsidRDefault="00CD28D5" w:rsidP="007C6AC2">
            <w:pPr>
              <w:spacing w:after="120"/>
              <w:jc w:val="center"/>
            </w:pPr>
          </w:p>
        </w:tc>
      </w:tr>
      <w:tr w:rsidR="00CD28D5" w:rsidRPr="007B6888" w14:paraId="247EA305" w14:textId="77777777" w:rsidTr="005A13C5">
        <w:tc>
          <w:tcPr>
            <w:tcW w:w="2694" w:type="dxa"/>
          </w:tcPr>
          <w:p w14:paraId="1413F8FD" w14:textId="15D4A2BF" w:rsidR="00CD28D5" w:rsidRPr="007B6888" w:rsidRDefault="00CD28D5" w:rsidP="007C6AC2">
            <w:pPr>
              <w:spacing w:after="120"/>
              <w:jc w:val="both"/>
            </w:pPr>
            <w:r w:rsidRPr="007B6888">
              <w:t>b)</w:t>
            </w:r>
            <w:r w:rsidR="00CD13F8" w:rsidRPr="007B6888">
              <w:t xml:space="preserve"> </w:t>
            </w:r>
            <w:r w:rsidRPr="007B6888">
              <w:t>bugete locale:</w:t>
            </w:r>
          </w:p>
          <w:p w14:paraId="5D43B430" w14:textId="0375DEBE" w:rsidR="00CD28D5" w:rsidRPr="007B6888" w:rsidRDefault="00CD28D5" w:rsidP="007C6AC2">
            <w:pPr>
              <w:spacing w:after="120"/>
              <w:jc w:val="both"/>
            </w:pPr>
            <w:r w:rsidRPr="007B6888">
              <w:t>(i) cheltuieli de personal</w:t>
            </w:r>
          </w:p>
          <w:p w14:paraId="5FAAC7DC" w14:textId="3646E615" w:rsidR="00CD28D5" w:rsidRPr="007B6888" w:rsidRDefault="00CD28D5" w:rsidP="007C6AC2">
            <w:pPr>
              <w:spacing w:after="120"/>
              <w:jc w:val="both"/>
            </w:pPr>
            <w:r w:rsidRPr="007B6888">
              <w:t>(ii) bunuri şi servicii</w:t>
            </w:r>
          </w:p>
        </w:tc>
        <w:tc>
          <w:tcPr>
            <w:tcW w:w="1058" w:type="dxa"/>
          </w:tcPr>
          <w:p w14:paraId="35C2339D" w14:textId="77777777" w:rsidR="00CD28D5" w:rsidRPr="007B6888" w:rsidRDefault="00CD28D5" w:rsidP="007C6AC2">
            <w:pPr>
              <w:spacing w:after="120"/>
              <w:jc w:val="center"/>
            </w:pPr>
          </w:p>
        </w:tc>
        <w:tc>
          <w:tcPr>
            <w:tcW w:w="1366" w:type="dxa"/>
          </w:tcPr>
          <w:p w14:paraId="7642EF10" w14:textId="77777777" w:rsidR="00CD28D5" w:rsidRPr="007B6888" w:rsidRDefault="00CD28D5" w:rsidP="007C6AC2">
            <w:pPr>
              <w:spacing w:after="120"/>
              <w:jc w:val="center"/>
            </w:pPr>
          </w:p>
        </w:tc>
        <w:tc>
          <w:tcPr>
            <w:tcW w:w="1466" w:type="dxa"/>
          </w:tcPr>
          <w:p w14:paraId="00DA41A3" w14:textId="77777777" w:rsidR="00CD28D5" w:rsidRPr="007B6888" w:rsidRDefault="00CD28D5" w:rsidP="007C6AC2">
            <w:pPr>
              <w:spacing w:after="120"/>
              <w:jc w:val="center"/>
            </w:pPr>
          </w:p>
        </w:tc>
        <w:tc>
          <w:tcPr>
            <w:tcW w:w="1366" w:type="dxa"/>
          </w:tcPr>
          <w:p w14:paraId="5014B167" w14:textId="77777777" w:rsidR="00CD28D5" w:rsidRPr="007B6888" w:rsidRDefault="00CD28D5" w:rsidP="007C6AC2">
            <w:pPr>
              <w:spacing w:after="120"/>
              <w:jc w:val="center"/>
            </w:pPr>
          </w:p>
        </w:tc>
        <w:tc>
          <w:tcPr>
            <w:tcW w:w="1135" w:type="dxa"/>
          </w:tcPr>
          <w:p w14:paraId="44E6962F" w14:textId="77777777" w:rsidR="00CD28D5" w:rsidRPr="007B6888" w:rsidRDefault="00CD28D5" w:rsidP="007C6AC2">
            <w:pPr>
              <w:spacing w:after="120"/>
              <w:jc w:val="center"/>
            </w:pPr>
          </w:p>
        </w:tc>
        <w:tc>
          <w:tcPr>
            <w:tcW w:w="1448" w:type="dxa"/>
          </w:tcPr>
          <w:p w14:paraId="5D1C5F3E" w14:textId="77777777" w:rsidR="00CD28D5" w:rsidRPr="007B6888" w:rsidRDefault="00CD28D5" w:rsidP="007C6AC2">
            <w:pPr>
              <w:spacing w:after="120"/>
              <w:jc w:val="center"/>
            </w:pPr>
          </w:p>
        </w:tc>
      </w:tr>
      <w:tr w:rsidR="00CD13F8" w:rsidRPr="007B6888" w14:paraId="64A76806" w14:textId="77777777" w:rsidTr="005A13C5">
        <w:tc>
          <w:tcPr>
            <w:tcW w:w="2694" w:type="dxa"/>
          </w:tcPr>
          <w:p w14:paraId="30172BDF" w14:textId="0D2320D4" w:rsidR="00CD13F8" w:rsidRPr="007B6888" w:rsidRDefault="00CD13F8" w:rsidP="007C6AC2">
            <w:pPr>
              <w:spacing w:after="120"/>
              <w:jc w:val="both"/>
            </w:pPr>
            <w:r w:rsidRPr="007B6888">
              <w:t>c) bugetul asigurărilor sociale de stat:</w:t>
            </w:r>
          </w:p>
          <w:p w14:paraId="03FADADD" w14:textId="1EB62078" w:rsidR="00CD13F8" w:rsidRPr="007B6888" w:rsidRDefault="00CD13F8" w:rsidP="007C6AC2">
            <w:pPr>
              <w:spacing w:after="120"/>
              <w:jc w:val="both"/>
            </w:pPr>
            <w:r w:rsidRPr="007B6888">
              <w:t>(i) cheltuieli de personal</w:t>
            </w:r>
          </w:p>
          <w:p w14:paraId="55656529" w14:textId="757B5B4C" w:rsidR="00CD13F8" w:rsidRPr="007B6888" w:rsidRDefault="00CD13F8" w:rsidP="007C6AC2">
            <w:pPr>
              <w:spacing w:after="120"/>
              <w:jc w:val="both"/>
            </w:pPr>
            <w:r w:rsidRPr="007B6888">
              <w:t>(ii) bunuri şi servicii</w:t>
            </w:r>
          </w:p>
        </w:tc>
        <w:tc>
          <w:tcPr>
            <w:tcW w:w="1058" w:type="dxa"/>
          </w:tcPr>
          <w:p w14:paraId="2DE6BAAD" w14:textId="77777777" w:rsidR="00CD13F8" w:rsidRPr="007B6888" w:rsidRDefault="00CD13F8" w:rsidP="007C6AC2">
            <w:pPr>
              <w:spacing w:after="120"/>
              <w:jc w:val="center"/>
            </w:pPr>
          </w:p>
        </w:tc>
        <w:tc>
          <w:tcPr>
            <w:tcW w:w="1366" w:type="dxa"/>
          </w:tcPr>
          <w:p w14:paraId="07943E17" w14:textId="77777777" w:rsidR="00CD13F8" w:rsidRPr="007B6888" w:rsidRDefault="00CD13F8" w:rsidP="007C6AC2">
            <w:pPr>
              <w:spacing w:after="120"/>
              <w:jc w:val="center"/>
            </w:pPr>
          </w:p>
        </w:tc>
        <w:tc>
          <w:tcPr>
            <w:tcW w:w="1466" w:type="dxa"/>
          </w:tcPr>
          <w:p w14:paraId="5D1EB785" w14:textId="77777777" w:rsidR="00CD13F8" w:rsidRPr="007B6888" w:rsidRDefault="00CD13F8" w:rsidP="007C6AC2">
            <w:pPr>
              <w:spacing w:after="120"/>
              <w:jc w:val="center"/>
            </w:pPr>
          </w:p>
        </w:tc>
        <w:tc>
          <w:tcPr>
            <w:tcW w:w="1366" w:type="dxa"/>
          </w:tcPr>
          <w:p w14:paraId="7E7347DF" w14:textId="77777777" w:rsidR="00CD13F8" w:rsidRPr="007B6888" w:rsidRDefault="00CD13F8" w:rsidP="007C6AC2">
            <w:pPr>
              <w:spacing w:after="120"/>
              <w:jc w:val="center"/>
            </w:pPr>
          </w:p>
        </w:tc>
        <w:tc>
          <w:tcPr>
            <w:tcW w:w="1135" w:type="dxa"/>
          </w:tcPr>
          <w:p w14:paraId="27993F0F" w14:textId="77777777" w:rsidR="00CD13F8" w:rsidRPr="007B6888" w:rsidRDefault="00CD13F8" w:rsidP="007C6AC2">
            <w:pPr>
              <w:spacing w:after="120"/>
              <w:jc w:val="center"/>
            </w:pPr>
          </w:p>
        </w:tc>
        <w:tc>
          <w:tcPr>
            <w:tcW w:w="1448" w:type="dxa"/>
          </w:tcPr>
          <w:p w14:paraId="3D14DE78" w14:textId="77777777" w:rsidR="00CD13F8" w:rsidRPr="007B6888" w:rsidRDefault="00CD13F8" w:rsidP="007C6AC2">
            <w:pPr>
              <w:spacing w:after="120"/>
              <w:jc w:val="center"/>
            </w:pPr>
          </w:p>
        </w:tc>
      </w:tr>
      <w:tr w:rsidR="00EF284D" w:rsidRPr="007B6888" w14:paraId="5C3A403A" w14:textId="77777777" w:rsidTr="005A13C5">
        <w:tc>
          <w:tcPr>
            <w:tcW w:w="2694" w:type="dxa"/>
          </w:tcPr>
          <w:p w14:paraId="3BF8A849" w14:textId="176DF995" w:rsidR="00EF284D" w:rsidRPr="007B6888" w:rsidRDefault="00EF284D" w:rsidP="007C6AC2">
            <w:pPr>
              <w:spacing w:after="120"/>
              <w:jc w:val="both"/>
            </w:pPr>
            <w:r w:rsidRPr="007B6888">
              <w:t xml:space="preserve">d) alte tipuri de </w:t>
            </w:r>
            <w:r w:rsidR="00A82648" w:rsidRPr="007B6888">
              <w:t>cheltuieli</w:t>
            </w:r>
          </w:p>
          <w:p w14:paraId="359EE9C4" w14:textId="710C86CB" w:rsidR="00EF284D" w:rsidRPr="007B6888" w:rsidRDefault="00EF284D" w:rsidP="007C6AC2">
            <w:pPr>
              <w:spacing w:after="120"/>
              <w:jc w:val="both"/>
            </w:pPr>
            <w:r w:rsidRPr="007B6888">
              <w:t>(Se va menționa natura acestora</w:t>
            </w:r>
            <w:r w:rsidR="00A82648" w:rsidRPr="007B6888">
              <w:t>.</w:t>
            </w:r>
            <w:r w:rsidRPr="007B6888">
              <w:t>)</w:t>
            </w:r>
          </w:p>
        </w:tc>
        <w:tc>
          <w:tcPr>
            <w:tcW w:w="1058" w:type="dxa"/>
          </w:tcPr>
          <w:p w14:paraId="2C7AC338" w14:textId="77777777" w:rsidR="00EF284D" w:rsidRPr="007B6888" w:rsidRDefault="00EF284D" w:rsidP="007C6AC2">
            <w:pPr>
              <w:spacing w:after="120"/>
              <w:jc w:val="center"/>
            </w:pPr>
          </w:p>
        </w:tc>
        <w:tc>
          <w:tcPr>
            <w:tcW w:w="1366" w:type="dxa"/>
          </w:tcPr>
          <w:p w14:paraId="7CA00BF7" w14:textId="77777777" w:rsidR="00EF284D" w:rsidRPr="007B6888" w:rsidRDefault="00EF284D" w:rsidP="007C6AC2">
            <w:pPr>
              <w:spacing w:after="120"/>
              <w:jc w:val="center"/>
            </w:pPr>
          </w:p>
        </w:tc>
        <w:tc>
          <w:tcPr>
            <w:tcW w:w="1466" w:type="dxa"/>
          </w:tcPr>
          <w:p w14:paraId="22F7EDA8" w14:textId="77777777" w:rsidR="00EF284D" w:rsidRPr="007B6888" w:rsidRDefault="00EF284D" w:rsidP="007C6AC2">
            <w:pPr>
              <w:spacing w:after="120"/>
              <w:jc w:val="center"/>
            </w:pPr>
          </w:p>
        </w:tc>
        <w:tc>
          <w:tcPr>
            <w:tcW w:w="1366" w:type="dxa"/>
          </w:tcPr>
          <w:p w14:paraId="1C65014D" w14:textId="77777777" w:rsidR="00EF284D" w:rsidRPr="007B6888" w:rsidRDefault="00EF284D" w:rsidP="007C6AC2">
            <w:pPr>
              <w:spacing w:after="120"/>
              <w:jc w:val="center"/>
            </w:pPr>
          </w:p>
        </w:tc>
        <w:tc>
          <w:tcPr>
            <w:tcW w:w="1135" w:type="dxa"/>
          </w:tcPr>
          <w:p w14:paraId="69EFB472" w14:textId="77777777" w:rsidR="00EF284D" w:rsidRPr="007B6888" w:rsidRDefault="00EF284D" w:rsidP="007C6AC2">
            <w:pPr>
              <w:spacing w:after="120"/>
              <w:jc w:val="center"/>
            </w:pPr>
          </w:p>
        </w:tc>
        <w:tc>
          <w:tcPr>
            <w:tcW w:w="1448" w:type="dxa"/>
          </w:tcPr>
          <w:p w14:paraId="2BEA7293" w14:textId="77777777" w:rsidR="00EF284D" w:rsidRPr="007B6888" w:rsidRDefault="00EF284D" w:rsidP="007C6AC2">
            <w:pPr>
              <w:spacing w:after="120"/>
              <w:jc w:val="center"/>
            </w:pPr>
          </w:p>
        </w:tc>
      </w:tr>
      <w:tr w:rsidR="00A75729" w:rsidRPr="007B6888" w14:paraId="6E9F3798" w14:textId="77777777" w:rsidTr="005A13C5">
        <w:tc>
          <w:tcPr>
            <w:tcW w:w="2694" w:type="dxa"/>
          </w:tcPr>
          <w:p w14:paraId="1C49C2EC" w14:textId="77777777" w:rsidR="00A75729" w:rsidRPr="007B6888" w:rsidRDefault="00A75729" w:rsidP="007C6AC2">
            <w:pPr>
              <w:spacing w:after="120"/>
              <w:jc w:val="both"/>
              <w:rPr>
                <w:b/>
                <w:bCs/>
              </w:rPr>
            </w:pPr>
            <w:r w:rsidRPr="007B6888">
              <w:rPr>
                <w:b/>
                <w:bCs/>
              </w:rPr>
              <w:t>4.3. Impact financiar, plus/minus, din care:</w:t>
            </w:r>
          </w:p>
          <w:p w14:paraId="656BFCEC" w14:textId="54C7982C" w:rsidR="00A75729" w:rsidRPr="007B6888" w:rsidRDefault="00A75729" w:rsidP="007C6AC2">
            <w:pPr>
              <w:spacing w:after="120"/>
              <w:jc w:val="both"/>
            </w:pPr>
            <w:r w:rsidRPr="007B6888">
              <w:t>a) buget de stat</w:t>
            </w:r>
          </w:p>
        </w:tc>
        <w:tc>
          <w:tcPr>
            <w:tcW w:w="1058" w:type="dxa"/>
          </w:tcPr>
          <w:p w14:paraId="7AD2D601" w14:textId="77777777" w:rsidR="00A75729" w:rsidRPr="007B6888" w:rsidRDefault="00A75729" w:rsidP="007C6AC2">
            <w:pPr>
              <w:spacing w:after="120"/>
              <w:jc w:val="center"/>
            </w:pPr>
          </w:p>
        </w:tc>
        <w:tc>
          <w:tcPr>
            <w:tcW w:w="1366" w:type="dxa"/>
          </w:tcPr>
          <w:p w14:paraId="0568D044" w14:textId="77777777" w:rsidR="00A75729" w:rsidRPr="007B6888" w:rsidRDefault="00A75729" w:rsidP="007C6AC2">
            <w:pPr>
              <w:spacing w:after="120"/>
              <w:jc w:val="center"/>
            </w:pPr>
          </w:p>
        </w:tc>
        <w:tc>
          <w:tcPr>
            <w:tcW w:w="1466" w:type="dxa"/>
          </w:tcPr>
          <w:p w14:paraId="210A6366" w14:textId="77777777" w:rsidR="00A75729" w:rsidRPr="007B6888" w:rsidRDefault="00A75729" w:rsidP="007C6AC2">
            <w:pPr>
              <w:spacing w:after="120"/>
              <w:jc w:val="center"/>
            </w:pPr>
          </w:p>
        </w:tc>
        <w:tc>
          <w:tcPr>
            <w:tcW w:w="1366" w:type="dxa"/>
          </w:tcPr>
          <w:p w14:paraId="2693F75B" w14:textId="77777777" w:rsidR="00A75729" w:rsidRPr="007B6888" w:rsidRDefault="00A75729" w:rsidP="007C6AC2">
            <w:pPr>
              <w:spacing w:after="120"/>
              <w:jc w:val="center"/>
            </w:pPr>
          </w:p>
        </w:tc>
        <w:tc>
          <w:tcPr>
            <w:tcW w:w="1135" w:type="dxa"/>
          </w:tcPr>
          <w:p w14:paraId="1585137C" w14:textId="77777777" w:rsidR="00A75729" w:rsidRPr="007B6888" w:rsidRDefault="00A75729" w:rsidP="007C6AC2">
            <w:pPr>
              <w:spacing w:after="120"/>
              <w:jc w:val="center"/>
            </w:pPr>
          </w:p>
        </w:tc>
        <w:tc>
          <w:tcPr>
            <w:tcW w:w="1448" w:type="dxa"/>
          </w:tcPr>
          <w:p w14:paraId="2D494315" w14:textId="77777777" w:rsidR="00A75729" w:rsidRPr="007B6888" w:rsidRDefault="00A75729" w:rsidP="007C6AC2">
            <w:pPr>
              <w:spacing w:after="120"/>
              <w:jc w:val="center"/>
            </w:pPr>
          </w:p>
        </w:tc>
      </w:tr>
      <w:tr w:rsidR="00A75729" w:rsidRPr="007B6888" w14:paraId="3177FEF7" w14:textId="77777777" w:rsidTr="005A13C5">
        <w:tc>
          <w:tcPr>
            <w:tcW w:w="2694" w:type="dxa"/>
          </w:tcPr>
          <w:p w14:paraId="33908C4A" w14:textId="118E34DE" w:rsidR="00A75729" w:rsidRPr="007B6888" w:rsidRDefault="00A75729" w:rsidP="007C6AC2">
            <w:pPr>
              <w:spacing w:after="120"/>
              <w:jc w:val="both"/>
            </w:pPr>
            <w:r w:rsidRPr="007B6888">
              <w:t>b) bugete locale</w:t>
            </w:r>
          </w:p>
        </w:tc>
        <w:tc>
          <w:tcPr>
            <w:tcW w:w="1058" w:type="dxa"/>
          </w:tcPr>
          <w:p w14:paraId="4B62CC0C" w14:textId="77777777" w:rsidR="00A75729" w:rsidRPr="007B6888" w:rsidRDefault="00A75729" w:rsidP="007C6AC2">
            <w:pPr>
              <w:spacing w:after="120"/>
              <w:jc w:val="center"/>
            </w:pPr>
          </w:p>
        </w:tc>
        <w:tc>
          <w:tcPr>
            <w:tcW w:w="1366" w:type="dxa"/>
          </w:tcPr>
          <w:p w14:paraId="283AC80B" w14:textId="77777777" w:rsidR="00A75729" w:rsidRPr="007B6888" w:rsidRDefault="00A75729" w:rsidP="007C6AC2">
            <w:pPr>
              <w:spacing w:after="120"/>
              <w:jc w:val="center"/>
            </w:pPr>
          </w:p>
        </w:tc>
        <w:tc>
          <w:tcPr>
            <w:tcW w:w="1466" w:type="dxa"/>
          </w:tcPr>
          <w:p w14:paraId="7219261C" w14:textId="77777777" w:rsidR="00A75729" w:rsidRPr="007B6888" w:rsidRDefault="00A75729" w:rsidP="007C6AC2">
            <w:pPr>
              <w:spacing w:after="120"/>
              <w:jc w:val="center"/>
            </w:pPr>
          </w:p>
        </w:tc>
        <w:tc>
          <w:tcPr>
            <w:tcW w:w="1366" w:type="dxa"/>
          </w:tcPr>
          <w:p w14:paraId="49D7F163" w14:textId="77777777" w:rsidR="00A75729" w:rsidRPr="007B6888" w:rsidRDefault="00A75729" w:rsidP="007C6AC2">
            <w:pPr>
              <w:spacing w:after="120"/>
              <w:jc w:val="center"/>
            </w:pPr>
          </w:p>
        </w:tc>
        <w:tc>
          <w:tcPr>
            <w:tcW w:w="1135" w:type="dxa"/>
          </w:tcPr>
          <w:p w14:paraId="7C544E7C" w14:textId="77777777" w:rsidR="00A75729" w:rsidRPr="007B6888" w:rsidRDefault="00A75729" w:rsidP="007C6AC2">
            <w:pPr>
              <w:spacing w:after="120"/>
              <w:jc w:val="center"/>
            </w:pPr>
          </w:p>
        </w:tc>
        <w:tc>
          <w:tcPr>
            <w:tcW w:w="1448" w:type="dxa"/>
          </w:tcPr>
          <w:p w14:paraId="4953DDFD" w14:textId="77777777" w:rsidR="00A75729" w:rsidRPr="007B6888" w:rsidRDefault="00A75729" w:rsidP="007C6AC2">
            <w:pPr>
              <w:spacing w:after="120"/>
              <w:jc w:val="center"/>
            </w:pPr>
          </w:p>
        </w:tc>
      </w:tr>
      <w:tr w:rsidR="00A75729" w:rsidRPr="007B6888" w14:paraId="4B985901" w14:textId="77777777" w:rsidTr="005A13C5">
        <w:tc>
          <w:tcPr>
            <w:tcW w:w="2694" w:type="dxa"/>
          </w:tcPr>
          <w:p w14:paraId="41F94191" w14:textId="4D675AF2" w:rsidR="00A75729" w:rsidRPr="007B6888" w:rsidRDefault="00A75729" w:rsidP="007C6AC2">
            <w:pPr>
              <w:spacing w:after="120"/>
              <w:jc w:val="both"/>
              <w:rPr>
                <w:b/>
                <w:bCs/>
              </w:rPr>
            </w:pPr>
            <w:r w:rsidRPr="007B6888">
              <w:rPr>
                <w:b/>
                <w:bCs/>
              </w:rPr>
              <w:t>4.4. Propuneri pentru acoperirea creşterii cheltuielilor bugetare</w:t>
            </w:r>
          </w:p>
        </w:tc>
        <w:tc>
          <w:tcPr>
            <w:tcW w:w="1058" w:type="dxa"/>
          </w:tcPr>
          <w:p w14:paraId="12553E7B" w14:textId="77777777" w:rsidR="00A75729" w:rsidRPr="007B6888" w:rsidRDefault="00A75729" w:rsidP="007C6AC2">
            <w:pPr>
              <w:spacing w:after="120"/>
              <w:jc w:val="center"/>
            </w:pPr>
          </w:p>
        </w:tc>
        <w:tc>
          <w:tcPr>
            <w:tcW w:w="1366" w:type="dxa"/>
          </w:tcPr>
          <w:p w14:paraId="6B4AB040" w14:textId="77777777" w:rsidR="00A75729" w:rsidRPr="007B6888" w:rsidRDefault="00A75729" w:rsidP="007C6AC2">
            <w:pPr>
              <w:spacing w:after="120"/>
              <w:jc w:val="center"/>
            </w:pPr>
          </w:p>
        </w:tc>
        <w:tc>
          <w:tcPr>
            <w:tcW w:w="1466" w:type="dxa"/>
          </w:tcPr>
          <w:p w14:paraId="2B58709A" w14:textId="77777777" w:rsidR="00A75729" w:rsidRPr="007B6888" w:rsidRDefault="00A75729" w:rsidP="007C6AC2">
            <w:pPr>
              <w:spacing w:after="120"/>
              <w:jc w:val="center"/>
            </w:pPr>
          </w:p>
        </w:tc>
        <w:tc>
          <w:tcPr>
            <w:tcW w:w="1366" w:type="dxa"/>
          </w:tcPr>
          <w:p w14:paraId="7AE48667" w14:textId="77777777" w:rsidR="00A75729" w:rsidRPr="007B6888" w:rsidRDefault="00A75729" w:rsidP="007C6AC2">
            <w:pPr>
              <w:spacing w:after="120"/>
              <w:jc w:val="center"/>
            </w:pPr>
          </w:p>
        </w:tc>
        <w:tc>
          <w:tcPr>
            <w:tcW w:w="1135" w:type="dxa"/>
          </w:tcPr>
          <w:p w14:paraId="2C05220B" w14:textId="77777777" w:rsidR="00A75729" w:rsidRPr="007B6888" w:rsidRDefault="00A75729" w:rsidP="007C6AC2">
            <w:pPr>
              <w:spacing w:after="120"/>
              <w:jc w:val="center"/>
            </w:pPr>
          </w:p>
        </w:tc>
        <w:tc>
          <w:tcPr>
            <w:tcW w:w="1448" w:type="dxa"/>
          </w:tcPr>
          <w:p w14:paraId="5BF7C6F4" w14:textId="77777777" w:rsidR="00A75729" w:rsidRPr="007B6888" w:rsidRDefault="00A75729" w:rsidP="007C6AC2">
            <w:pPr>
              <w:spacing w:after="120"/>
              <w:jc w:val="center"/>
            </w:pPr>
          </w:p>
        </w:tc>
      </w:tr>
      <w:tr w:rsidR="00A75729" w:rsidRPr="007B6888" w14:paraId="0936FEC1" w14:textId="77777777" w:rsidTr="005A13C5">
        <w:tc>
          <w:tcPr>
            <w:tcW w:w="2694" w:type="dxa"/>
          </w:tcPr>
          <w:p w14:paraId="31602873" w14:textId="19763228" w:rsidR="00A75729" w:rsidRPr="007B6888" w:rsidRDefault="00A75729" w:rsidP="007C6AC2">
            <w:pPr>
              <w:spacing w:after="120"/>
              <w:jc w:val="both"/>
              <w:rPr>
                <w:b/>
                <w:bCs/>
              </w:rPr>
            </w:pPr>
            <w:r w:rsidRPr="007B6888">
              <w:rPr>
                <w:b/>
                <w:bCs/>
              </w:rPr>
              <w:t>4.5. Propuneri pentru a compensa reducerea veniturilor bugetare</w:t>
            </w:r>
          </w:p>
        </w:tc>
        <w:tc>
          <w:tcPr>
            <w:tcW w:w="1058" w:type="dxa"/>
          </w:tcPr>
          <w:p w14:paraId="50FCA196" w14:textId="77777777" w:rsidR="00A75729" w:rsidRPr="007B6888" w:rsidRDefault="00A75729" w:rsidP="007C6AC2">
            <w:pPr>
              <w:spacing w:after="120"/>
              <w:jc w:val="center"/>
            </w:pPr>
          </w:p>
        </w:tc>
        <w:tc>
          <w:tcPr>
            <w:tcW w:w="1366" w:type="dxa"/>
          </w:tcPr>
          <w:p w14:paraId="06CFE138" w14:textId="77777777" w:rsidR="00A75729" w:rsidRPr="007B6888" w:rsidRDefault="00A75729" w:rsidP="007C6AC2">
            <w:pPr>
              <w:spacing w:after="120"/>
              <w:jc w:val="center"/>
            </w:pPr>
          </w:p>
        </w:tc>
        <w:tc>
          <w:tcPr>
            <w:tcW w:w="1466" w:type="dxa"/>
          </w:tcPr>
          <w:p w14:paraId="6FFFE022" w14:textId="77777777" w:rsidR="00A75729" w:rsidRPr="007B6888" w:rsidRDefault="00A75729" w:rsidP="007C6AC2">
            <w:pPr>
              <w:spacing w:after="120"/>
              <w:jc w:val="center"/>
            </w:pPr>
          </w:p>
        </w:tc>
        <w:tc>
          <w:tcPr>
            <w:tcW w:w="1366" w:type="dxa"/>
          </w:tcPr>
          <w:p w14:paraId="46465A6F" w14:textId="77777777" w:rsidR="00A75729" w:rsidRPr="007B6888" w:rsidRDefault="00A75729" w:rsidP="007C6AC2">
            <w:pPr>
              <w:spacing w:after="120"/>
              <w:jc w:val="center"/>
            </w:pPr>
          </w:p>
        </w:tc>
        <w:tc>
          <w:tcPr>
            <w:tcW w:w="1135" w:type="dxa"/>
          </w:tcPr>
          <w:p w14:paraId="14082553" w14:textId="77777777" w:rsidR="00A75729" w:rsidRPr="007B6888" w:rsidRDefault="00A75729" w:rsidP="007C6AC2">
            <w:pPr>
              <w:spacing w:after="120"/>
              <w:jc w:val="center"/>
            </w:pPr>
          </w:p>
        </w:tc>
        <w:tc>
          <w:tcPr>
            <w:tcW w:w="1448" w:type="dxa"/>
          </w:tcPr>
          <w:p w14:paraId="178CA231" w14:textId="77777777" w:rsidR="00A75729" w:rsidRPr="007B6888" w:rsidRDefault="00A75729" w:rsidP="007C6AC2">
            <w:pPr>
              <w:spacing w:after="120"/>
              <w:jc w:val="center"/>
            </w:pPr>
          </w:p>
        </w:tc>
      </w:tr>
      <w:tr w:rsidR="00A75729" w:rsidRPr="007B6888" w14:paraId="153D0F09" w14:textId="77777777" w:rsidTr="005A13C5">
        <w:tc>
          <w:tcPr>
            <w:tcW w:w="2694" w:type="dxa"/>
          </w:tcPr>
          <w:p w14:paraId="4E7FCDBB" w14:textId="336B0E28" w:rsidR="00A75729" w:rsidRPr="007B6888" w:rsidRDefault="00A75729" w:rsidP="007C6AC2">
            <w:pPr>
              <w:spacing w:after="120"/>
              <w:jc w:val="both"/>
              <w:rPr>
                <w:b/>
                <w:bCs/>
              </w:rPr>
            </w:pPr>
            <w:r w:rsidRPr="007B6888">
              <w:rPr>
                <w:b/>
                <w:bCs/>
              </w:rPr>
              <w:t>4.6. Calcule detaliate privind fundamentarea modificărilor  veniturilor şi/sau cheltuielilor bugetare</w:t>
            </w:r>
          </w:p>
        </w:tc>
        <w:tc>
          <w:tcPr>
            <w:tcW w:w="1058" w:type="dxa"/>
          </w:tcPr>
          <w:p w14:paraId="18046DC1" w14:textId="77777777" w:rsidR="00A75729" w:rsidRPr="007B6888" w:rsidRDefault="00A75729" w:rsidP="007C6AC2">
            <w:pPr>
              <w:spacing w:after="120"/>
              <w:jc w:val="center"/>
            </w:pPr>
          </w:p>
        </w:tc>
        <w:tc>
          <w:tcPr>
            <w:tcW w:w="1366" w:type="dxa"/>
          </w:tcPr>
          <w:p w14:paraId="7CF35163" w14:textId="77777777" w:rsidR="00A75729" w:rsidRPr="007B6888" w:rsidRDefault="00A75729" w:rsidP="007C6AC2">
            <w:pPr>
              <w:spacing w:after="120"/>
              <w:jc w:val="center"/>
            </w:pPr>
          </w:p>
        </w:tc>
        <w:tc>
          <w:tcPr>
            <w:tcW w:w="1466" w:type="dxa"/>
          </w:tcPr>
          <w:p w14:paraId="1D863FB9" w14:textId="77777777" w:rsidR="00A75729" w:rsidRPr="007B6888" w:rsidRDefault="00A75729" w:rsidP="007C6AC2">
            <w:pPr>
              <w:spacing w:after="120"/>
              <w:jc w:val="center"/>
            </w:pPr>
          </w:p>
        </w:tc>
        <w:tc>
          <w:tcPr>
            <w:tcW w:w="1366" w:type="dxa"/>
          </w:tcPr>
          <w:p w14:paraId="42476051" w14:textId="77777777" w:rsidR="00A75729" w:rsidRPr="007B6888" w:rsidRDefault="00A75729" w:rsidP="007C6AC2">
            <w:pPr>
              <w:spacing w:after="120"/>
              <w:jc w:val="center"/>
            </w:pPr>
          </w:p>
        </w:tc>
        <w:tc>
          <w:tcPr>
            <w:tcW w:w="1135" w:type="dxa"/>
          </w:tcPr>
          <w:p w14:paraId="4746E189" w14:textId="77777777" w:rsidR="00A75729" w:rsidRPr="007B6888" w:rsidRDefault="00A75729" w:rsidP="007C6AC2">
            <w:pPr>
              <w:spacing w:after="120"/>
              <w:jc w:val="center"/>
            </w:pPr>
          </w:p>
        </w:tc>
        <w:tc>
          <w:tcPr>
            <w:tcW w:w="1448" w:type="dxa"/>
          </w:tcPr>
          <w:p w14:paraId="05472402" w14:textId="77777777" w:rsidR="00A75729" w:rsidRPr="007B6888" w:rsidRDefault="00A75729" w:rsidP="007C6AC2">
            <w:pPr>
              <w:spacing w:after="120"/>
              <w:jc w:val="center"/>
            </w:pPr>
          </w:p>
        </w:tc>
      </w:tr>
      <w:tr w:rsidR="00A75729" w:rsidRPr="007B6888" w14:paraId="260B3CE9" w14:textId="77777777" w:rsidTr="006A42CB">
        <w:tc>
          <w:tcPr>
            <w:tcW w:w="10533" w:type="dxa"/>
            <w:gridSpan w:val="7"/>
          </w:tcPr>
          <w:p w14:paraId="38A65360" w14:textId="7BB19CF9" w:rsidR="00A75729" w:rsidRPr="007B6888" w:rsidRDefault="00A75729" w:rsidP="007C6AC2">
            <w:pPr>
              <w:spacing w:after="120"/>
              <w:jc w:val="both"/>
              <w:rPr>
                <w:b/>
                <w:bCs/>
              </w:rPr>
            </w:pPr>
            <w:r w:rsidRPr="007B6888">
              <w:rPr>
                <w:b/>
                <w:bCs/>
              </w:rPr>
              <w:t>4.7. Prezentarea, în cazul proiectelor de acte normative</w:t>
            </w:r>
            <w:r w:rsidR="00A60FAE" w:rsidRPr="007B6888">
              <w:rPr>
                <w:b/>
                <w:bCs/>
              </w:rPr>
              <w:t xml:space="preserve"> a căror adaptare atrage majorarea cheltuielilor bugetare, a următoarelor documente:</w:t>
            </w:r>
          </w:p>
          <w:p w14:paraId="67DFFAEF" w14:textId="350B0C6A" w:rsidR="00A60FAE" w:rsidRPr="007B6888" w:rsidRDefault="00A60FAE" w:rsidP="007C6AC2">
            <w:pPr>
              <w:spacing w:after="120"/>
              <w:jc w:val="both"/>
            </w:pPr>
            <w:r w:rsidRPr="007B6888">
              <w:t>a) fișa financiară prevăzută la art. 15 din Legea nr. 500/2002 privind finanțele publice, cu modificările și completările ulterioare, însoțită de ipotezele și metodologia de calcul utilizată;</w:t>
            </w:r>
          </w:p>
          <w:p w14:paraId="699F79A9" w14:textId="3858F0A9" w:rsidR="00A60FAE" w:rsidRPr="007B6888" w:rsidRDefault="00A60FAE" w:rsidP="007C6AC2">
            <w:pPr>
              <w:spacing w:after="120"/>
              <w:jc w:val="both"/>
            </w:pPr>
            <w:r w:rsidRPr="007B6888">
              <w:t xml:space="preserve">b) declarație conform căreia majorarea de cheltuială respectivă este compatibilă cu obiectivele și prioritățile strategice specificate în strategia fiscal-bugetară, cu legea bugetară anuală și cu plafoanele </w:t>
            </w:r>
            <w:r w:rsidR="00A82648" w:rsidRPr="007B6888">
              <w:t xml:space="preserve">de cheltuieli </w:t>
            </w:r>
            <w:r w:rsidRPr="007B6888">
              <w:t>prezentate în strategia fiscal-bugetară.</w:t>
            </w:r>
          </w:p>
        </w:tc>
      </w:tr>
      <w:tr w:rsidR="00B4537B" w:rsidRPr="007B6888" w14:paraId="675CE50B" w14:textId="77777777" w:rsidTr="00D72556">
        <w:tc>
          <w:tcPr>
            <w:tcW w:w="10533" w:type="dxa"/>
            <w:gridSpan w:val="7"/>
          </w:tcPr>
          <w:p w14:paraId="54C419F5" w14:textId="77777777" w:rsidR="00B4537B" w:rsidRPr="007B6888" w:rsidRDefault="00B4537B" w:rsidP="007C6AC2">
            <w:pPr>
              <w:spacing w:after="120"/>
              <w:rPr>
                <w:b/>
                <w:bCs/>
              </w:rPr>
            </w:pPr>
            <w:r w:rsidRPr="007B6888">
              <w:rPr>
                <w:b/>
                <w:bCs/>
              </w:rPr>
              <w:t>4.8. Alte informații</w:t>
            </w:r>
          </w:p>
          <w:p w14:paraId="64B74EF4" w14:textId="5DB25DCF" w:rsidR="00723488" w:rsidRPr="007B6888" w:rsidRDefault="00723488" w:rsidP="007C6AC2">
            <w:pPr>
              <w:spacing w:after="120"/>
            </w:pPr>
            <w:r w:rsidRPr="007B6888">
              <w:t>Nu au fost identificate</w:t>
            </w:r>
          </w:p>
        </w:tc>
      </w:tr>
    </w:tbl>
    <w:p w14:paraId="1F6057EB" w14:textId="39063F27" w:rsidR="00D97666" w:rsidRPr="007B6888" w:rsidRDefault="00670C79" w:rsidP="007C6AC2">
      <w:pPr>
        <w:spacing w:after="120"/>
        <w:jc w:val="both"/>
        <w:rPr>
          <w:b/>
        </w:rPr>
      </w:pPr>
      <w:r w:rsidRPr="007B6888">
        <w:rPr>
          <w:b/>
        </w:rPr>
        <w:t xml:space="preserve">   </w:t>
      </w:r>
    </w:p>
    <w:p w14:paraId="777ED2E4" w14:textId="595D97B1" w:rsidR="00B4537B" w:rsidRPr="007B6888" w:rsidRDefault="0053303E" w:rsidP="003832B6">
      <w:pPr>
        <w:ind w:firstLine="720"/>
        <w:jc w:val="both"/>
        <w:rPr>
          <w:b/>
        </w:rPr>
      </w:pPr>
      <w:r w:rsidRPr="007B6888">
        <w:rPr>
          <w:b/>
        </w:rPr>
        <w:t>Secțiunea</w:t>
      </w:r>
      <w:r w:rsidR="00670C79" w:rsidRPr="007B6888">
        <w:rPr>
          <w:b/>
        </w:rPr>
        <w:t xml:space="preserve"> a 5-a </w:t>
      </w:r>
    </w:p>
    <w:p w14:paraId="7E1BCAF6" w14:textId="3D431DFE" w:rsidR="00670C79" w:rsidRPr="007B6888" w:rsidRDefault="00670C79" w:rsidP="007C6AC2">
      <w:pPr>
        <w:spacing w:after="120"/>
        <w:ind w:firstLine="720"/>
        <w:jc w:val="both"/>
        <w:rPr>
          <w:b/>
        </w:rPr>
      </w:pPr>
      <w:r w:rsidRPr="007B6888">
        <w:rPr>
          <w:b/>
        </w:rPr>
        <w:t xml:space="preserve">Efectele proiectului de act normativ asupra </w:t>
      </w:r>
      <w:r w:rsidR="0053303E" w:rsidRPr="007B6888">
        <w:rPr>
          <w:b/>
        </w:rPr>
        <w:t>legislației</w:t>
      </w:r>
      <w:r w:rsidRPr="007B6888">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7B6888" w14:paraId="327176B4" w14:textId="77777777" w:rsidTr="00B400EE">
        <w:trPr>
          <w:trHeight w:val="561"/>
        </w:trPr>
        <w:tc>
          <w:tcPr>
            <w:tcW w:w="10533" w:type="dxa"/>
          </w:tcPr>
          <w:p w14:paraId="4F9076D7" w14:textId="3B626545" w:rsidR="00973701" w:rsidRPr="007B6888" w:rsidRDefault="00973701" w:rsidP="007C6AC2">
            <w:pPr>
              <w:spacing w:after="120"/>
              <w:jc w:val="both"/>
              <w:rPr>
                <w:b/>
                <w:bCs/>
              </w:rPr>
            </w:pPr>
            <w:r w:rsidRPr="007B6888">
              <w:rPr>
                <w:b/>
                <w:bCs/>
              </w:rPr>
              <w:lastRenderedPageBreak/>
              <w:t>5.1. Măsuri normative necesare pentru aplicarea prevederilor proiectului de act normativ</w:t>
            </w:r>
          </w:p>
          <w:p w14:paraId="48D3D9AA" w14:textId="0252212F" w:rsidR="00723488" w:rsidRPr="007B6888" w:rsidRDefault="00723488" w:rsidP="007C6AC2">
            <w:pPr>
              <w:spacing w:after="120"/>
              <w:jc w:val="both"/>
            </w:pPr>
            <w:r w:rsidRPr="007B6888">
              <w:t>Nu este cazul</w:t>
            </w:r>
          </w:p>
          <w:p w14:paraId="082FB576" w14:textId="385D721B" w:rsidR="00456611" w:rsidRPr="007B6888" w:rsidRDefault="00973701" w:rsidP="007C6AC2">
            <w:pPr>
              <w:tabs>
                <w:tab w:val="left" w:pos="201"/>
              </w:tabs>
              <w:spacing w:after="120"/>
              <w:jc w:val="both"/>
              <w:rPr>
                <w:b/>
                <w:bCs/>
              </w:rPr>
            </w:pPr>
            <w:r w:rsidRPr="007B6888">
              <w:rPr>
                <w:b/>
                <w:bCs/>
              </w:rPr>
              <w:t>5.2. Impactul asupra legislației în domeniul achizițiilor publice</w:t>
            </w:r>
          </w:p>
          <w:p w14:paraId="73EF4A8D" w14:textId="1DA5EBCC" w:rsidR="00723488" w:rsidRPr="007B6888" w:rsidRDefault="00723488" w:rsidP="007C6AC2">
            <w:pPr>
              <w:tabs>
                <w:tab w:val="left" w:pos="201"/>
              </w:tabs>
              <w:spacing w:after="120"/>
              <w:jc w:val="both"/>
            </w:pPr>
            <w:r w:rsidRPr="007B6888">
              <w:t>Prezentul act normativ nu se referă la acest subiect</w:t>
            </w:r>
          </w:p>
          <w:p w14:paraId="3CE6B9A6" w14:textId="2DF4E543" w:rsidR="00973701" w:rsidRPr="007B6888" w:rsidRDefault="00973701" w:rsidP="007C6AC2">
            <w:pPr>
              <w:tabs>
                <w:tab w:val="left" w:pos="201"/>
              </w:tabs>
              <w:spacing w:after="120"/>
              <w:jc w:val="both"/>
              <w:rPr>
                <w:b/>
                <w:bCs/>
              </w:rPr>
            </w:pPr>
            <w:r w:rsidRPr="007B6888">
              <w:rPr>
                <w:b/>
                <w:bCs/>
              </w:rPr>
              <w:t xml:space="preserve">5.3. Conformitatea  proiectului de act normativ cu </w:t>
            </w:r>
            <w:r w:rsidR="0053303E" w:rsidRPr="007B6888">
              <w:rPr>
                <w:b/>
                <w:bCs/>
              </w:rPr>
              <w:t>legislația</w:t>
            </w:r>
            <w:r w:rsidRPr="007B6888">
              <w:rPr>
                <w:b/>
                <w:bCs/>
              </w:rPr>
              <w:t xml:space="preserve"> UE (în cazul proiectelor ce transpun sau asigură aplicarea unor prevederi de drept UE)</w:t>
            </w:r>
          </w:p>
          <w:p w14:paraId="3EB922B7" w14:textId="049AF966" w:rsidR="00456611" w:rsidRPr="007B6888" w:rsidRDefault="00973701" w:rsidP="007C6AC2">
            <w:pPr>
              <w:tabs>
                <w:tab w:val="left" w:pos="201"/>
              </w:tabs>
              <w:spacing w:after="120"/>
              <w:jc w:val="both"/>
              <w:rPr>
                <w:b/>
                <w:bCs/>
              </w:rPr>
            </w:pPr>
            <w:r w:rsidRPr="007B6888">
              <w:rPr>
                <w:b/>
                <w:bCs/>
              </w:rPr>
              <w:t>5.3.1. Măsuri normative necesare transpunerii directivelor UE</w:t>
            </w:r>
          </w:p>
          <w:p w14:paraId="69E5C3B2" w14:textId="77777777" w:rsidR="00723488" w:rsidRPr="007B6888" w:rsidRDefault="00723488" w:rsidP="00723488">
            <w:pPr>
              <w:tabs>
                <w:tab w:val="left" w:pos="201"/>
              </w:tabs>
              <w:spacing w:after="120"/>
              <w:jc w:val="both"/>
            </w:pPr>
            <w:r w:rsidRPr="007B6888">
              <w:t>Prezentul act normativ nu se referă la acest subiect</w:t>
            </w:r>
          </w:p>
          <w:p w14:paraId="1DA2C64E" w14:textId="2E9183B8" w:rsidR="00C369F9" w:rsidRPr="007B6888" w:rsidRDefault="00674D58" w:rsidP="007C6AC2">
            <w:pPr>
              <w:tabs>
                <w:tab w:val="left" w:pos="201"/>
              </w:tabs>
              <w:spacing w:after="120"/>
              <w:jc w:val="both"/>
              <w:rPr>
                <w:b/>
                <w:bCs/>
              </w:rPr>
            </w:pPr>
            <w:r w:rsidRPr="007B6888">
              <w:rPr>
                <w:b/>
                <w:bCs/>
              </w:rPr>
              <w:t>5.3.2. Măsuri normative necesare aplicării actelor legislative UE</w:t>
            </w:r>
          </w:p>
          <w:p w14:paraId="30852866" w14:textId="77777777" w:rsidR="00723488" w:rsidRPr="007B6888" w:rsidRDefault="00723488" w:rsidP="00723488">
            <w:pPr>
              <w:tabs>
                <w:tab w:val="left" w:pos="201"/>
              </w:tabs>
              <w:spacing w:after="120"/>
              <w:jc w:val="both"/>
            </w:pPr>
            <w:r w:rsidRPr="007B6888">
              <w:t>Prezentul act normativ nu se referă la acest subiect</w:t>
            </w:r>
          </w:p>
          <w:p w14:paraId="1292063A" w14:textId="7F6B9E87" w:rsidR="002623AD" w:rsidRPr="007B6888" w:rsidRDefault="00674D58" w:rsidP="007C6AC2">
            <w:pPr>
              <w:tabs>
                <w:tab w:val="left" w:pos="201"/>
              </w:tabs>
              <w:spacing w:after="120"/>
              <w:jc w:val="both"/>
              <w:rPr>
                <w:b/>
                <w:bCs/>
              </w:rPr>
            </w:pPr>
            <w:r w:rsidRPr="007B6888">
              <w:rPr>
                <w:b/>
                <w:bCs/>
              </w:rPr>
              <w:t>5.4. Hotărâri ale Curţii de Justiţie a Uniunii Europene</w:t>
            </w:r>
            <w:r w:rsidR="002623AD" w:rsidRPr="007B6888">
              <w:rPr>
                <w:b/>
                <w:bCs/>
              </w:rPr>
              <w:t xml:space="preserve"> </w:t>
            </w:r>
          </w:p>
          <w:p w14:paraId="45018BCA" w14:textId="77777777" w:rsidR="00723488" w:rsidRPr="007B6888" w:rsidRDefault="00723488" w:rsidP="00723488">
            <w:pPr>
              <w:tabs>
                <w:tab w:val="left" w:pos="201"/>
              </w:tabs>
              <w:spacing w:after="120"/>
              <w:jc w:val="both"/>
            </w:pPr>
            <w:r w:rsidRPr="007B6888">
              <w:t>Prezentul act normativ nu se referă la acest subiect</w:t>
            </w:r>
          </w:p>
          <w:p w14:paraId="68B890A9" w14:textId="77777777" w:rsidR="00723488" w:rsidRPr="007B6888" w:rsidRDefault="00674D58" w:rsidP="007C6AC2">
            <w:pPr>
              <w:tabs>
                <w:tab w:val="left" w:pos="201"/>
              </w:tabs>
              <w:spacing w:after="120"/>
              <w:jc w:val="both"/>
              <w:rPr>
                <w:b/>
                <w:bCs/>
              </w:rPr>
            </w:pPr>
            <w:r w:rsidRPr="007B6888">
              <w:rPr>
                <w:b/>
                <w:bCs/>
              </w:rPr>
              <w:t>5.5. Alte acte normative şi/sau documente internaţionale din care decurg angajamente asumate</w:t>
            </w:r>
          </w:p>
          <w:p w14:paraId="0B9287A7" w14:textId="77777777" w:rsidR="00723488" w:rsidRPr="007B6888" w:rsidRDefault="00723488" w:rsidP="00723488">
            <w:pPr>
              <w:tabs>
                <w:tab w:val="left" w:pos="201"/>
              </w:tabs>
              <w:spacing w:after="120"/>
              <w:jc w:val="both"/>
            </w:pPr>
            <w:r w:rsidRPr="007B6888">
              <w:t>Prezentul act normativ nu se referă la acest subiect</w:t>
            </w:r>
          </w:p>
          <w:p w14:paraId="37138732" w14:textId="77777777" w:rsidR="00973701" w:rsidRPr="007B6888" w:rsidRDefault="00674D58" w:rsidP="007C6AC2">
            <w:pPr>
              <w:tabs>
                <w:tab w:val="left" w:pos="201"/>
              </w:tabs>
              <w:spacing w:after="120"/>
              <w:jc w:val="both"/>
              <w:rPr>
                <w:b/>
                <w:bCs/>
              </w:rPr>
            </w:pPr>
            <w:r w:rsidRPr="007B6888">
              <w:rPr>
                <w:b/>
                <w:bCs/>
              </w:rPr>
              <w:t>5.6. Alte informații</w:t>
            </w:r>
          </w:p>
          <w:p w14:paraId="7C430706" w14:textId="033658E4" w:rsidR="00CB7478" w:rsidRPr="007B6888" w:rsidRDefault="00CB7478" w:rsidP="007C6AC2">
            <w:pPr>
              <w:tabs>
                <w:tab w:val="left" w:pos="201"/>
              </w:tabs>
              <w:spacing w:after="120"/>
              <w:jc w:val="both"/>
            </w:pPr>
            <w:r w:rsidRPr="007B6888">
              <w:t>Nu au fost identificate</w:t>
            </w:r>
          </w:p>
        </w:tc>
      </w:tr>
    </w:tbl>
    <w:p w14:paraId="7203B83A" w14:textId="10544F92" w:rsidR="00DB715E" w:rsidRPr="007B6888" w:rsidRDefault="00DB715E" w:rsidP="007C6AC2">
      <w:pPr>
        <w:spacing w:after="120"/>
        <w:rPr>
          <w:b/>
        </w:rPr>
      </w:pPr>
      <w:r w:rsidRPr="007B6888">
        <w:rPr>
          <w:b/>
        </w:rPr>
        <w:t xml:space="preserve">   </w:t>
      </w:r>
    </w:p>
    <w:p w14:paraId="6F04DAD9" w14:textId="33129100" w:rsidR="00BB0782" w:rsidRPr="007B6888" w:rsidRDefault="00BB0782" w:rsidP="003832B6">
      <w:pPr>
        <w:ind w:firstLine="720"/>
        <w:rPr>
          <w:b/>
        </w:rPr>
      </w:pPr>
      <w:r w:rsidRPr="007B6888">
        <w:rPr>
          <w:b/>
        </w:rPr>
        <w:t>Secțiunea a 6-a</w:t>
      </w:r>
    </w:p>
    <w:p w14:paraId="4113E59E" w14:textId="59419D76" w:rsidR="00670C79" w:rsidRPr="007B6888" w:rsidRDefault="00670C79" w:rsidP="007C6AC2">
      <w:pPr>
        <w:spacing w:after="120"/>
        <w:ind w:firstLine="720"/>
        <w:rPr>
          <w:b/>
        </w:rPr>
      </w:pPr>
      <w:r w:rsidRPr="007B6888">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7B6888" w14:paraId="5EB7CDBC" w14:textId="77777777" w:rsidTr="00096014">
        <w:tc>
          <w:tcPr>
            <w:tcW w:w="10533" w:type="dxa"/>
          </w:tcPr>
          <w:p w14:paraId="598B642C" w14:textId="4C2ABE40" w:rsidR="00770E01" w:rsidRPr="007B6888" w:rsidRDefault="00770E01" w:rsidP="007C6AC2">
            <w:pPr>
              <w:spacing w:after="120"/>
              <w:jc w:val="both"/>
              <w:rPr>
                <w:b/>
                <w:bCs/>
              </w:rPr>
            </w:pPr>
            <w:r w:rsidRPr="007B6888">
              <w:rPr>
                <w:b/>
                <w:bCs/>
              </w:rPr>
              <w:t>6.1. Informații privind neaplicarea procedurii de participare la elaborarea actelor normative</w:t>
            </w:r>
          </w:p>
          <w:p w14:paraId="639C0CFE" w14:textId="77777777" w:rsidR="00CB7478" w:rsidRPr="007B6888" w:rsidRDefault="00CB7478" w:rsidP="00CB7478">
            <w:pPr>
              <w:spacing w:after="120"/>
              <w:jc w:val="both"/>
            </w:pPr>
            <w:r w:rsidRPr="007B6888">
              <w:t>Proiectul de act normativ nu se referă la acest subiect.</w:t>
            </w:r>
          </w:p>
          <w:p w14:paraId="0B61431A" w14:textId="7D286F3B" w:rsidR="00770E01" w:rsidRPr="007B6888" w:rsidRDefault="00770E01" w:rsidP="007C6AC2">
            <w:pPr>
              <w:spacing w:after="120"/>
              <w:jc w:val="both"/>
              <w:rPr>
                <w:b/>
                <w:bCs/>
              </w:rPr>
            </w:pPr>
            <w:r w:rsidRPr="007B6888">
              <w:rPr>
                <w:b/>
                <w:bCs/>
              </w:rPr>
              <w:t>6.2. Informaţii privind procesul de consultare cu organizaţii neguvernamentale, institute de cercetare şi alte organisme implicate</w:t>
            </w:r>
          </w:p>
          <w:p w14:paraId="1F65C454" w14:textId="77777777" w:rsidR="00CB7478" w:rsidRPr="007B6888" w:rsidRDefault="00CB7478" w:rsidP="00CB7478">
            <w:pPr>
              <w:spacing w:after="120"/>
              <w:jc w:val="both"/>
            </w:pPr>
            <w:r w:rsidRPr="007B6888">
              <w:t>Proiectul de act normativ nu se referă la acest subiect.</w:t>
            </w:r>
          </w:p>
          <w:p w14:paraId="2BABECC5" w14:textId="2EADBBA5" w:rsidR="00926ABC" w:rsidRPr="007B6888" w:rsidRDefault="00770E01" w:rsidP="007C6AC2">
            <w:pPr>
              <w:spacing w:after="120"/>
              <w:jc w:val="both"/>
              <w:rPr>
                <w:b/>
                <w:bCs/>
              </w:rPr>
            </w:pPr>
            <w:r w:rsidRPr="007B6888">
              <w:rPr>
                <w:b/>
                <w:bCs/>
              </w:rPr>
              <w:t>6.3. Informații despre consultările organizate cu autoritățile administrației publice locale</w:t>
            </w:r>
          </w:p>
          <w:p w14:paraId="72E9651A" w14:textId="77777777" w:rsidR="00CB7478" w:rsidRPr="007B6888" w:rsidRDefault="00CB7478" w:rsidP="00CB7478">
            <w:pPr>
              <w:spacing w:after="120"/>
              <w:jc w:val="both"/>
            </w:pPr>
            <w:r w:rsidRPr="007B6888">
              <w:t>Proiectul de act normativ nu se referă la acest subiect.</w:t>
            </w:r>
          </w:p>
          <w:p w14:paraId="53F02791" w14:textId="7ED87D78" w:rsidR="00770E01" w:rsidRPr="007B6888" w:rsidRDefault="00770E01" w:rsidP="007C6AC2">
            <w:pPr>
              <w:spacing w:after="120"/>
              <w:jc w:val="both"/>
              <w:rPr>
                <w:b/>
                <w:bCs/>
              </w:rPr>
            </w:pPr>
            <w:r w:rsidRPr="007B6888">
              <w:rPr>
                <w:b/>
                <w:bCs/>
              </w:rPr>
              <w:t>6.4. Informații privind puncte de vedere/opinii emise de organisme consulative constituite prin acte normative</w:t>
            </w:r>
          </w:p>
          <w:p w14:paraId="3C8D47E5" w14:textId="6D40E50D" w:rsidR="00CB7478" w:rsidRPr="007B6888" w:rsidRDefault="00CB7478" w:rsidP="00CB7478">
            <w:pPr>
              <w:spacing w:after="120"/>
              <w:jc w:val="both"/>
            </w:pPr>
            <w:r w:rsidRPr="007B6888">
              <w:t>Proiectul de act normativ nu se referă la acest subiect.</w:t>
            </w:r>
          </w:p>
          <w:p w14:paraId="0FF572CC" w14:textId="3F3A66CE" w:rsidR="00770E01" w:rsidRPr="007B6888" w:rsidRDefault="00770E01" w:rsidP="00084688">
            <w:pPr>
              <w:spacing w:after="80"/>
              <w:jc w:val="both"/>
              <w:rPr>
                <w:b/>
                <w:bCs/>
              </w:rPr>
            </w:pPr>
            <w:r w:rsidRPr="007B6888">
              <w:rPr>
                <w:b/>
                <w:bCs/>
              </w:rPr>
              <w:t>6.5</w:t>
            </w:r>
            <w:r w:rsidR="004555DD" w:rsidRPr="007B6888">
              <w:rPr>
                <w:b/>
                <w:bCs/>
              </w:rPr>
              <w:t>.</w:t>
            </w:r>
            <w:r w:rsidRPr="007B6888">
              <w:rPr>
                <w:b/>
                <w:bCs/>
              </w:rPr>
              <w:t xml:space="preserve"> Informații privind avizarea de către:</w:t>
            </w:r>
          </w:p>
          <w:p w14:paraId="4019CFEC" w14:textId="73AC6216" w:rsidR="00CB7478" w:rsidRPr="00814541" w:rsidRDefault="00770E01" w:rsidP="00084688">
            <w:pPr>
              <w:spacing w:after="80"/>
              <w:jc w:val="both"/>
            </w:pPr>
            <w:r w:rsidRPr="007B6888">
              <w:t xml:space="preserve">a) </w:t>
            </w:r>
            <w:r w:rsidRPr="00084688">
              <w:rPr>
                <w:b/>
                <w:bCs/>
              </w:rPr>
              <w:t xml:space="preserve">Consiliul </w:t>
            </w:r>
            <w:r w:rsidR="008F6907" w:rsidRPr="00814541">
              <w:rPr>
                <w:b/>
                <w:bCs/>
              </w:rPr>
              <w:t>L</w:t>
            </w:r>
            <w:r w:rsidRPr="00814541">
              <w:rPr>
                <w:b/>
                <w:bCs/>
              </w:rPr>
              <w:t>egislativ</w:t>
            </w:r>
            <w:r w:rsidR="00FA2645" w:rsidRPr="00814541">
              <w:t xml:space="preserve"> </w:t>
            </w:r>
          </w:p>
          <w:p w14:paraId="5FE65553" w14:textId="15D2A101" w:rsidR="00770E01" w:rsidRPr="00814541" w:rsidRDefault="00770E01" w:rsidP="00084688">
            <w:pPr>
              <w:spacing w:after="80"/>
              <w:jc w:val="both"/>
            </w:pPr>
            <w:r w:rsidRPr="00814541">
              <w:t>b)</w:t>
            </w:r>
            <w:r w:rsidR="00456611" w:rsidRPr="00814541">
              <w:t xml:space="preserve"> </w:t>
            </w:r>
            <w:r w:rsidRPr="00814541">
              <w:t>Consiliul Suprem de Apărare a Ţării</w:t>
            </w:r>
          </w:p>
          <w:p w14:paraId="4AC17768" w14:textId="373BE093" w:rsidR="00CB7478" w:rsidRPr="00814541" w:rsidRDefault="00770E01" w:rsidP="00084688">
            <w:pPr>
              <w:spacing w:after="80"/>
              <w:jc w:val="both"/>
            </w:pPr>
            <w:r w:rsidRPr="00814541">
              <w:t>c)</w:t>
            </w:r>
            <w:r w:rsidR="00456611" w:rsidRPr="00814541">
              <w:t xml:space="preserve"> </w:t>
            </w:r>
            <w:r w:rsidRPr="00814541">
              <w:t>Consiliul Economic şi Social</w:t>
            </w:r>
            <w:r w:rsidR="00CB7478" w:rsidRPr="00814541">
              <w:t xml:space="preserve"> </w:t>
            </w:r>
          </w:p>
          <w:p w14:paraId="782E1FCE" w14:textId="0F23478A" w:rsidR="00770E01" w:rsidRPr="00814541" w:rsidRDefault="00770E01" w:rsidP="00084688">
            <w:pPr>
              <w:spacing w:after="80"/>
              <w:jc w:val="both"/>
            </w:pPr>
            <w:r w:rsidRPr="00814541">
              <w:t>d)</w:t>
            </w:r>
            <w:r w:rsidR="00456611" w:rsidRPr="00814541">
              <w:t xml:space="preserve"> </w:t>
            </w:r>
            <w:r w:rsidRPr="00814541">
              <w:t xml:space="preserve">Consiliul </w:t>
            </w:r>
            <w:r w:rsidR="00CB7478" w:rsidRPr="00814541">
              <w:t>Concurenței</w:t>
            </w:r>
            <w:r w:rsidRPr="00814541">
              <w:t xml:space="preserve"> </w:t>
            </w:r>
          </w:p>
          <w:p w14:paraId="2F3CE523" w14:textId="520A4B5E" w:rsidR="00CB7478" w:rsidRDefault="00770E01" w:rsidP="00084688">
            <w:pPr>
              <w:spacing w:after="80"/>
              <w:jc w:val="both"/>
            </w:pPr>
            <w:r w:rsidRPr="007B6888">
              <w:t>e)</w:t>
            </w:r>
            <w:r w:rsidR="00456611" w:rsidRPr="007B6888">
              <w:t xml:space="preserve"> </w:t>
            </w:r>
            <w:r w:rsidRPr="007B6888">
              <w:t>Curtea de Conturi</w:t>
            </w:r>
            <w:r w:rsidR="00CB7478" w:rsidRPr="007B6888">
              <w:t xml:space="preserve"> </w:t>
            </w:r>
          </w:p>
          <w:p w14:paraId="6FFA42D7" w14:textId="149113A5" w:rsidR="00084688" w:rsidRPr="007B6888" w:rsidRDefault="00084688" w:rsidP="00084688">
            <w:pPr>
              <w:spacing w:after="80"/>
              <w:jc w:val="both"/>
            </w:pPr>
            <w:r>
              <w:t>Proiectul de act normativ a fost avizat de Consiliul Legislativ prin avizul nr.........</w:t>
            </w:r>
          </w:p>
          <w:p w14:paraId="2BD75505" w14:textId="77777777" w:rsidR="00770E01" w:rsidRPr="007B6888" w:rsidRDefault="00770E01" w:rsidP="007C6AC2">
            <w:pPr>
              <w:spacing w:after="120"/>
              <w:jc w:val="both"/>
              <w:rPr>
                <w:b/>
                <w:bCs/>
              </w:rPr>
            </w:pPr>
            <w:r w:rsidRPr="007B6888">
              <w:rPr>
                <w:b/>
                <w:bCs/>
              </w:rPr>
              <w:lastRenderedPageBreak/>
              <w:t>6.6. Alte informații</w:t>
            </w:r>
          </w:p>
          <w:p w14:paraId="32E03757" w14:textId="29DB0E9D" w:rsidR="004841A2" w:rsidRPr="007B6888" w:rsidRDefault="004841A2" w:rsidP="007C6AC2">
            <w:pPr>
              <w:spacing w:after="120"/>
              <w:jc w:val="both"/>
            </w:pPr>
            <w:r w:rsidRPr="007B6888">
              <w:t xml:space="preserve">S-a solicitat punctul de vedere al </w:t>
            </w:r>
            <w:r w:rsidR="00084688">
              <w:t xml:space="preserve">Curții de Conturi și </w:t>
            </w:r>
            <w:r w:rsidRPr="007B6888">
              <w:t>Autorității de Audit din cadrul Curții de Conturi a Românie</w:t>
            </w:r>
          </w:p>
        </w:tc>
      </w:tr>
    </w:tbl>
    <w:p w14:paraId="743889EF" w14:textId="77777777" w:rsidR="004841A2" w:rsidRPr="007B6888" w:rsidRDefault="004841A2" w:rsidP="007C6AC2">
      <w:pPr>
        <w:pStyle w:val="BodyTextIndent2"/>
        <w:spacing w:before="0" w:line="240" w:lineRule="auto"/>
        <w:ind w:left="180" w:right="98" w:firstLine="540"/>
        <w:jc w:val="both"/>
        <w:rPr>
          <w:bCs w:val="0"/>
          <w:sz w:val="24"/>
        </w:rPr>
      </w:pPr>
    </w:p>
    <w:p w14:paraId="311858C9" w14:textId="47B16605" w:rsidR="00770E01" w:rsidRPr="007B6888" w:rsidRDefault="00670C79" w:rsidP="003832B6">
      <w:pPr>
        <w:pStyle w:val="BodyTextIndent2"/>
        <w:spacing w:before="0" w:after="0" w:line="240" w:lineRule="auto"/>
        <w:ind w:left="187" w:right="101" w:firstLine="547"/>
        <w:jc w:val="both"/>
        <w:rPr>
          <w:bCs w:val="0"/>
          <w:sz w:val="24"/>
        </w:rPr>
      </w:pPr>
      <w:r w:rsidRPr="007B6888">
        <w:rPr>
          <w:bCs w:val="0"/>
          <w:sz w:val="24"/>
        </w:rPr>
        <w:t xml:space="preserve">Secţiunea a 7-a  </w:t>
      </w:r>
    </w:p>
    <w:p w14:paraId="45DA67B7" w14:textId="070DA24F" w:rsidR="00260E13" w:rsidRPr="007B6888" w:rsidRDefault="00670C79" w:rsidP="007C6AC2">
      <w:pPr>
        <w:pStyle w:val="BodyTextIndent2"/>
        <w:spacing w:before="0" w:line="240" w:lineRule="auto"/>
        <w:ind w:left="180" w:right="98" w:firstLine="540"/>
        <w:jc w:val="both"/>
        <w:rPr>
          <w:bCs w:val="0"/>
          <w:sz w:val="24"/>
        </w:rPr>
      </w:pPr>
      <w:r w:rsidRPr="007B6888">
        <w:rPr>
          <w:bCs w:val="0"/>
          <w:sz w:val="24"/>
        </w:rPr>
        <w:t xml:space="preserve">Activităţi de informare publică privind elaborarea şi implementarea </w:t>
      </w:r>
      <w:bookmarkStart w:id="0" w:name="_Hlk100229941"/>
      <w:r w:rsidRPr="007B6888">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7B6888" w14:paraId="416004E3" w14:textId="77777777" w:rsidTr="00634CAE">
        <w:tc>
          <w:tcPr>
            <w:tcW w:w="10533" w:type="dxa"/>
          </w:tcPr>
          <w:p w14:paraId="29554504" w14:textId="441C8869" w:rsidR="00770E01" w:rsidRPr="007B6888" w:rsidRDefault="00770E01" w:rsidP="007C6AC2">
            <w:pPr>
              <w:spacing w:after="120"/>
              <w:jc w:val="both"/>
              <w:rPr>
                <w:b/>
                <w:bCs/>
              </w:rPr>
            </w:pPr>
            <w:r w:rsidRPr="007B6888">
              <w:rPr>
                <w:b/>
                <w:bCs/>
              </w:rPr>
              <w:t xml:space="preserve">7.1. </w:t>
            </w:r>
            <w:r w:rsidR="0053566B" w:rsidRPr="007B6888">
              <w:rPr>
                <w:b/>
                <w:bCs/>
              </w:rPr>
              <w:t xml:space="preserve">Informarea </w:t>
            </w:r>
            <w:r w:rsidR="00D97666" w:rsidRPr="007B6888">
              <w:rPr>
                <w:b/>
                <w:bCs/>
              </w:rPr>
              <w:t>societății</w:t>
            </w:r>
            <w:r w:rsidR="0053566B" w:rsidRPr="007B6888">
              <w:rPr>
                <w:b/>
                <w:bCs/>
              </w:rPr>
              <w:t xml:space="preserve"> civile cu privire la elaborarea proiectului de act normativ</w:t>
            </w:r>
          </w:p>
          <w:p w14:paraId="6C96FD7D" w14:textId="08D2C78A" w:rsidR="00BA389E" w:rsidRPr="00814541" w:rsidRDefault="00BA389E" w:rsidP="007C6AC2">
            <w:pPr>
              <w:spacing w:after="120"/>
              <w:jc w:val="both"/>
            </w:pPr>
            <w:r w:rsidRPr="007B6888">
              <w:rPr>
                <w:color w:val="000000" w:themeColor="text1"/>
              </w:rPr>
              <w:t xml:space="preserve">Prezentul proiect de act normativ respectă prevederile art. 7 alin. (13) din Legea nr. 52/2003 privind transparența decizională în administrația publică, republicată, și a fost publicat în dezbatere publică pe pagina de internet a </w:t>
            </w:r>
            <w:r w:rsidRPr="00814541">
              <w:t>Ministerului Investițiilor și Proiectelor Europene la data de</w:t>
            </w:r>
            <w:r w:rsidR="00814541" w:rsidRPr="00814541">
              <w:t xml:space="preserve"> 20.06.2022</w:t>
            </w:r>
            <w:r w:rsidR="00C924A7" w:rsidRPr="00814541">
              <w:t xml:space="preserve">, recomandări scrise putând fi primite </w:t>
            </w:r>
            <w:r w:rsidR="00814541" w:rsidRPr="00814541">
              <w:t>conform dispozițiilor art. 7 alin (13) Legii nr. 52/2003 privind transparența decizională în administrația publică, republicată</w:t>
            </w:r>
            <w:r w:rsidR="00814541" w:rsidRPr="00814541">
              <w:t>.</w:t>
            </w:r>
          </w:p>
          <w:p w14:paraId="0CF23475" w14:textId="24C98A32" w:rsidR="00C924A7" w:rsidRPr="007B6888" w:rsidRDefault="00C924A7" w:rsidP="007C6AC2">
            <w:pPr>
              <w:spacing w:after="120"/>
              <w:jc w:val="both"/>
              <w:rPr>
                <w:color w:val="000000" w:themeColor="text1"/>
              </w:rPr>
            </w:pPr>
            <w:r w:rsidRPr="007B6888">
              <w:rPr>
                <w:color w:val="000000" w:themeColor="text1"/>
              </w:rPr>
              <w:t>S-a primit un număr de ....   observații.</w:t>
            </w:r>
          </w:p>
          <w:p w14:paraId="3695E7F7" w14:textId="213D296F" w:rsidR="0053566B" w:rsidRPr="007B6888" w:rsidRDefault="0053566B" w:rsidP="007C6AC2">
            <w:pPr>
              <w:spacing w:after="120"/>
              <w:jc w:val="both"/>
              <w:rPr>
                <w:b/>
                <w:bCs/>
              </w:rPr>
            </w:pPr>
            <w:r w:rsidRPr="007B6888">
              <w:rPr>
                <w:b/>
                <w:bCs/>
              </w:rPr>
              <w:t>7.2. Informarea societăţii civile cu privire la e</w:t>
            </w:r>
            <w:r w:rsidR="008F6907" w:rsidRPr="007B6888">
              <w:rPr>
                <w:b/>
                <w:bCs/>
              </w:rPr>
              <w:t>v</w:t>
            </w:r>
            <w:r w:rsidRPr="007B6888">
              <w:rPr>
                <w:b/>
                <w:bCs/>
              </w:rPr>
              <w:t>entualul impact asupra mediului în urma implementării proiectului de act normativ, precum și efectele asupra sănătății și securității cetățenilor sau diversității biologice</w:t>
            </w:r>
          </w:p>
          <w:p w14:paraId="76237CB1" w14:textId="77777777" w:rsidR="00D97666" w:rsidRPr="007B6888" w:rsidRDefault="00D97666" w:rsidP="00D97666">
            <w:pPr>
              <w:tabs>
                <w:tab w:val="left" w:pos="201"/>
              </w:tabs>
              <w:spacing w:after="120"/>
              <w:jc w:val="both"/>
            </w:pPr>
            <w:r w:rsidRPr="007B6888">
              <w:t>Prezentul act normativ nu se referă la acest subiect</w:t>
            </w:r>
          </w:p>
          <w:p w14:paraId="4C5B4C8B" w14:textId="77777777" w:rsidR="008F6907" w:rsidRPr="007B6888" w:rsidRDefault="008F6907" w:rsidP="007C6AC2">
            <w:pPr>
              <w:spacing w:after="120"/>
              <w:jc w:val="both"/>
              <w:rPr>
                <w:b/>
                <w:bCs/>
              </w:rPr>
            </w:pPr>
            <w:r w:rsidRPr="007B6888">
              <w:rPr>
                <w:b/>
                <w:bCs/>
              </w:rPr>
              <w:t>7.3. Alte informații</w:t>
            </w:r>
          </w:p>
          <w:p w14:paraId="6A2C5259" w14:textId="07199E37" w:rsidR="00D97666" w:rsidRPr="007B6888" w:rsidRDefault="00D97666" w:rsidP="007C6AC2">
            <w:pPr>
              <w:spacing w:after="120"/>
              <w:jc w:val="both"/>
              <w:rPr>
                <w:b/>
                <w:bCs/>
              </w:rPr>
            </w:pPr>
            <w:r w:rsidRPr="007B6888">
              <w:t>Nu au fost identificate</w:t>
            </w:r>
          </w:p>
        </w:tc>
      </w:tr>
    </w:tbl>
    <w:p w14:paraId="1DCAD9D0" w14:textId="3D865306" w:rsidR="002E20A6" w:rsidRPr="007B6888" w:rsidRDefault="002E20A6" w:rsidP="007C6AC2">
      <w:pPr>
        <w:spacing w:after="120"/>
        <w:rPr>
          <w:b/>
        </w:rPr>
      </w:pPr>
    </w:p>
    <w:p w14:paraId="341152AF" w14:textId="1DB82ECC" w:rsidR="0053566B" w:rsidRPr="007B6888" w:rsidRDefault="00670C79" w:rsidP="003832B6">
      <w:pPr>
        <w:ind w:left="187" w:firstLine="547"/>
        <w:rPr>
          <w:b/>
        </w:rPr>
      </w:pPr>
      <w:r w:rsidRPr="007B6888">
        <w:rPr>
          <w:b/>
        </w:rPr>
        <w:t>Secţiunea a 8- a</w:t>
      </w:r>
      <w:r w:rsidR="002E20A6" w:rsidRPr="007B6888">
        <w:rPr>
          <w:b/>
        </w:rPr>
        <w:t xml:space="preserve"> </w:t>
      </w:r>
      <w:r w:rsidRPr="007B6888">
        <w:rPr>
          <w:b/>
        </w:rPr>
        <w:t xml:space="preserve"> </w:t>
      </w:r>
    </w:p>
    <w:p w14:paraId="3FBCA191" w14:textId="2A77164A" w:rsidR="00670C79" w:rsidRPr="007B6888" w:rsidRDefault="00670C79" w:rsidP="007C6AC2">
      <w:pPr>
        <w:spacing w:after="120"/>
        <w:ind w:left="180" w:firstLine="540"/>
        <w:rPr>
          <w:b/>
        </w:rPr>
      </w:pPr>
      <w:r w:rsidRPr="007B6888">
        <w:rPr>
          <w:b/>
        </w:rPr>
        <w:t xml:space="preserve">Măsuri </w:t>
      </w:r>
      <w:r w:rsidR="0053566B" w:rsidRPr="007B6888">
        <w:rPr>
          <w:b/>
        </w:rPr>
        <w:t>privind</w:t>
      </w:r>
      <w:r w:rsidRPr="007B6888">
        <w:rPr>
          <w:b/>
        </w:rPr>
        <w:t xml:space="preserve"> implementare</w:t>
      </w:r>
      <w:r w:rsidR="0053566B" w:rsidRPr="007B6888">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7B6888" w14:paraId="554BFAFC" w14:textId="77777777" w:rsidTr="00435BC5">
        <w:tc>
          <w:tcPr>
            <w:tcW w:w="10553" w:type="dxa"/>
          </w:tcPr>
          <w:p w14:paraId="560280B7" w14:textId="5C5AA51F" w:rsidR="0053566B" w:rsidRPr="007B6888" w:rsidRDefault="0053566B" w:rsidP="007C6AC2">
            <w:pPr>
              <w:pStyle w:val="Heading1"/>
              <w:spacing w:after="120" w:line="240" w:lineRule="auto"/>
              <w:jc w:val="both"/>
              <w:rPr>
                <w:b/>
                <w:bCs/>
                <w:sz w:val="24"/>
              </w:rPr>
            </w:pPr>
            <w:r w:rsidRPr="007B6888">
              <w:rPr>
                <w:b/>
                <w:bCs/>
                <w:sz w:val="24"/>
              </w:rPr>
              <w:t>8.1. Măsuri de punere în aplicare a proiectului de act normativ</w:t>
            </w:r>
          </w:p>
          <w:p w14:paraId="129BAE9F" w14:textId="77777777" w:rsidR="00D97666" w:rsidRPr="007B6888" w:rsidRDefault="00D97666" w:rsidP="00D97666">
            <w:pPr>
              <w:tabs>
                <w:tab w:val="left" w:pos="201"/>
              </w:tabs>
              <w:spacing w:after="120"/>
              <w:jc w:val="both"/>
            </w:pPr>
            <w:r w:rsidRPr="007B6888">
              <w:t>Prezentul act normativ nu se referă la acest subiect</w:t>
            </w:r>
          </w:p>
          <w:p w14:paraId="41930950" w14:textId="77777777" w:rsidR="0053566B" w:rsidRPr="007B6888" w:rsidRDefault="0053566B" w:rsidP="007C6AC2">
            <w:pPr>
              <w:spacing w:after="120"/>
              <w:rPr>
                <w:b/>
                <w:bCs/>
              </w:rPr>
            </w:pPr>
            <w:r w:rsidRPr="007B6888">
              <w:rPr>
                <w:b/>
                <w:bCs/>
              </w:rPr>
              <w:t>8.2. Alte informaţii</w:t>
            </w:r>
          </w:p>
          <w:p w14:paraId="3837F202" w14:textId="40D90679" w:rsidR="00D97666" w:rsidRPr="007B6888" w:rsidRDefault="00D97666" w:rsidP="007C6AC2">
            <w:pPr>
              <w:spacing w:after="120"/>
            </w:pPr>
            <w:r w:rsidRPr="007B6888">
              <w:t>Nu au fost identificate</w:t>
            </w:r>
          </w:p>
        </w:tc>
      </w:tr>
    </w:tbl>
    <w:p w14:paraId="28A87137" w14:textId="3EA10693" w:rsidR="00C5468F" w:rsidRPr="007B6888" w:rsidRDefault="00C5468F" w:rsidP="007C6AC2">
      <w:pPr>
        <w:widowControl w:val="0"/>
        <w:spacing w:after="120"/>
        <w:jc w:val="both"/>
      </w:pPr>
    </w:p>
    <w:p w14:paraId="3EF5CDA2" w14:textId="77777777" w:rsidR="00C86A4C" w:rsidRDefault="00C86A4C" w:rsidP="007C6AC2">
      <w:pPr>
        <w:widowControl w:val="0"/>
        <w:spacing w:after="120"/>
        <w:jc w:val="both"/>
        <w:sectPr w:rsidR="00C86A4C" w:rsidSect="00742E10">
          <w:footerReference w:type="even" r:id="rId9"/>
          <w:footerReference w:type="default" r:id="rId10"/>
          <w:pgSz w:w="12240" w:h="15840"/>
          <w:pgMar w:top="1170" w:right="851" w:bottom="360" w:left="851" w:header="709" w:footer="709" w:gutter="0"/>
          <w:cols w:space="708"/>
          <w:docGrid w:linePitch="360"/>
        </w:sectPr>
      </w:pPr>
    </w:p>
    <w:p w14:paraId="7CDE5F19" w14:textId="3D555DB2" w:rsidR="00AF34ED" w:rsidRDefault="00AF34ED" w:rsidP="00343C61">
      <w:pPr>
        <w:autoSpaceDE w:val="0"/>
        <w:autoSpaceDN w:val="0"/>
        <w:adjustRightInd w:val="0"/>
        <w:spacing w:after="120"/>
        <w:jc w:val="both"/>
      </w:pPr>
      <w:r w:rsidRPr="007B6888">
        <w:lastRenderedPageBreak/>
        <w:t xml:space="preserve">Față de cele prezentate mai sus, a fost promovat prezentul proiect de </w:t>
      </w:r>
      <w:r w:rsidR="00882C19" w:rsidRPr="00882C19">
        <w:t>Ordonanță de urgență pentru modificarea și completarea Ordonanței de Urgență a Guvernului nr. 66 /2011  privind prevenirea, constatarea şi sancționarea  neregulilor apărute în obținerea şi utilizarea fondurilor europene şi/sau a fondurilor publice naționale aferente acestora</w:t>
      </w:r>
      <w:r w:rsidRPr="007B6888">
        <w:t>, care în forma prezentată, a fost avizat de ministerele interesate şi pe care îl supunem adoptării.</w:t>
      </w:r>
    </w:p>
    <w:p w14:paraId="0EF84A43" w14:textId="6645A296" w:rsidR="005546BE" w:rsidRDefault="005546BE" w:rsidP="00343C61">
      <w:pPr>
        <w:autoSpaceDE w:val="0"/>
        <w:autoSpaceDN w:val="0"/>
        <w:adjustRightInd w:val="0"/>
        <w:spacing w:after="120"/>
        <w:jc w:val="both"/>
      </w:pPr>
    </w:p>
    <w:p w14:paraId="187B41D1" w14:textId="77777777" w:rsidR="005546BE" w:rsidRDefault="005546BE" w:rsidP="00343C61">
      <w:pPr>
        <w:autoSpaceDE w:val="0"/>
        <w:autoSpaceDN w:val="0"/>
        <w:adjustRightInd w:val="0"/>
        <w:spacing w:after="120"/>
        <w:jc w:val="both"/>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7"/>
        <w:gridCol w:w="5173"/>
      </w:tblGrid>
      <w:tr w:rsidR="009958DC" w:rsidRPr="009B381E" w14:paraId="40B4993C" w14:textId="7F350441" w:rsidTr="009958DC">
        <w:trPr>
          <w:trHeight w:val="1495"/>
        </w:trPr>
        <w:tc>
          <w:tcPr>
            <w:tcW w:w="5247" w:type="dxa"/>
          </w:tcPr>
          <w:p w14:paraId="5552041B" w14:textId="77777777" w:rsidR="009958DC" w:rsidRPr="009B381E" w:rsidRDefault="009958DC" w:rsidP="009958DC">
            <w:pPr>
              <w:jc w:val="center"/>
              <w:rPr>
                <w:b/>
                <w:bCs/>
              </w:rPr>
            </w:pPr>
            <w:r w:rsidRPr="009B381E">
              <w:rPr>
                <w:b/>
                <w:bCs/>
              </w:rPr>
              <w:t>MINISTRUL INVESTIȚIILOR ȘI PROIECTELOR EUROPENE</w:t>
            </w:r>
          </w:p>
          <w:p w14:paraId="4674500F" w14:textId="77777777" w:rsidR="009958DC" w:rsidRDefault="009958DC" w:rsidP="009958DC">
            <w:pPr>
              <w:jc w:val="center"/>
              <w:rPr>
                <w:b/>
                <w:bCs/>
              </w:rPr>
            </w:pPr>
          </w:p>
          <w:p w14:paraId="239C5D50" w14:textId="77301787" w:rsidR="009958DC" w:rsidRPr="009B381E" w:rsidRDefault="009958DC" w:rsidP="009958DC">
            <w:pPr>
              <w:jc w:val="center"/>
              <w:rPr>
                <w:b/>
                <w:bCs/>
              </w:rPr>
            </w:pPr>
            <w:r>
              <w:rPr>
                <w:b/>
                <w:bCs/>
              </w:rPr>
              <w:t>Marcel-Ioan BOLOȘ</w:t>
            </w:r>
          </w:p>
        </w:tc>
        <w:tc>
          <w:tcPr>
            <w:tcW w:w="5173" w:type="dxa"/>
          </w:tcPr>
          <w:p w14:paraId="58CFF204" w14:textId="77777777" w:rsidR="009958DC" w:rsidRDefault="009958DC" w:rsidP="009958DC">
            <w:pPr>
              <w:spacing w:line="276" w:lineRule="auto"/>
              <w:ind w:left="720" w:hanging="720"/>
              <w:jc w:val="center"/>
              <w:rPr>
                <w:b/>
                <w:bCs/>
              </w:rPr>
            </w:pPr>
            <w:r>
              <w:rPr>
                <w:b/>
                <w:bCs/>
              </w:rPr>
              <w:t>MINISTRUL FINANȚELOR</w:t>
            </w:r>
          </w:p>
          <w:p w14:paraId="3C846FBA" w14:textId="77777777" w:rsidR="009958DC" w:rsidRDefault="009958DC" w:rsidP="009958DC">
            <w:pPr>
              <w:spacing w:line="276" w:lineRule="auto"/>
              <w:ind w:left="720" w:hanging="720"/>
              <w:jc w:val="center"/>
              <w:rPr>
                <w:b/>
                <w:bCs/>
              </w:rPr>
            </w:pPr>
          </w:p>
          <w:p w14:paraId="3FBEF81B" w14:textId="77777777" w:rsidR="009958DC" w:rsidRDefault="009958DC" w:rsidP="009958DC">
            <w:pPr>
              <w:spacing w:line="276" w:lineRule="auto"/>
              <w:ind w:left="720" w:hanging="720"/>
              <w:jc w:val="center"/>
              <w:rPr>
                <w:b/>
                <w:bCs/>
              </w:rPr>
            </w:pPr>
            <w:r>
              <w:rPr>
                <w:b/>
                <w:bCs/>
              </w:rPr>
              <w:t>Adrian CÂCIU</w:t>
            </w:r>
          </w:p>
          <w:p w14:paraId="1C40ECDE" w14:textId="77777777" w:rsidR="009958DC" w:rsidRDefault="009958DC" w:rsidP="009958DC">
            <w:pPr>
              <w:spacing w:line="276" w:lineRule="auto"/>
              <w:ind w:left="720" w:hanging="720"/>
              <w:jc w:val="center"/>
              <w:rPr>
                <w:b/>
                <w:bCs/>
              </w:rPr>
            </w:pPr>
          </w:p>
          <w:p w14:paraId="2FF13CD5" w14:textId="77777777" w:rsidR="009958DC" w:rsidRPr="009B381E" w:rsidRDefault="009958DC" w:rsidP="002C0FA9">
            <w:pPr>
              <w:jc w:val="center"/>
              <w:rPr>
                <w:b/>
                <w:bCs/>
              </w:rPr>
            </w:pPr>
          </w:p>
        </w:tc>
      </w:tr>
      <w:tr w:rsidR="005546BE" w:rsidRPr="004F521A" w14:paraId="301AC740" w14:textId="77777777" w:rsidTr="009958DC">
        <w:tc>
          <w:tcPr>
            <w:tcW w:w="10420" w:type="dxa"/>
            <w:gridSpan w:val="2"/>
          </w:tcPr>
          <w:p w14:paraId="78C7CB1A" w14:textId="77777777" w:rsidR="005546BE" w:rsidRDefault="005546BE" w:rsidP="002C0FA9">
            <w:pPr>
              <w:spacing w:line="276" w:lineRule="auto"/>
              <w:ind w:left="720" w:hanging="720"/>
              <w:jc w:val="center"/>
              <w:rPr>
                <w:b/>
                <w:bCs/>
              </w:rPr>
            </w:pPr>
            <w:r w:rsidRPr="004F521A">
              <w:rPr>
                <w:b/>
                <w:bCs/>
              </w:rPr>
              <w:t>A</w:t>
            </w:r>
            <w:r>
              <w:rPr>
                <w:b/>
                <w:bCs/>
              </w:rPr>
              <w:t>vizatori</w:t>
            </w:r>
            <w:r w:rsidRPr="004F521A">
              <w:rPr>
                <w:b/>
                <w:bCs/>
              </w:rPr>
              <w:t>:</w:t>
            </w:r>
          </w:p>
          <w:p w14:paraId="23C79C42" w14:textId="77777777" w:rsidR="005546BE" w:rsidRDefault="005546BE" w:rsidP="002C0FA9">
            <w:pPr>
              <w:spacing w:line="276" w:lineRule="auto"/>
              <w:ind w:left="720" w:hanging="720"/>
              <w:jc w:val="center"/>
              <w:rPr>
                <w:b/>
                <w:bCs/>
              </w:rPr>
            </w:pPr>
          </w:p>
          <w:p w14:paraId="3BC25489" w14:textId="77777777" w:rsidR="005546BE" w:rsidRPr="00806026" w:rsidRDefault="005546BE" w:rsidP="002C0FA9">
            <w:pPr>
              <w:spacing w:line="276" w:lineRule="auto"/>
              <w:ind w:left="720" w:hanging="720"/>
              <w:jc w:val="center"/>
              <w:rPr>
                <w:b/>
                <w:bCs/>
              </w:rPr>
            </w:pPr>
            <w:r w:rsidRPr="00806026">
              <w:rPr>
                <w:b/>
                <w:bCs/>
              </w:rPr>
              <w:t>VICEPRIM-MINISTRU,</w:t>
            </w:r>
          </w:p>
          <w:p w14:paraId="2931ED54" w14:textId="77777777" w:rsidR="005546BE" w:rsidRPr="00806026" w:rsidRDefault="005546BE" w:rsidP="002C0FA9">
            <w:pPr>
              <w:spacing w:line="276" w:lineRule="auto"/>
              <w:ind w:left="720" w:hanging="720"/>
              <w:jc w:val="center"/>
              <w:rPr>
                <w:b/>
                <w:bCs/>
              </w:rPr>
            </w:pPr>
            <w:r w:rsidRPr="00806026">
              <w:rPr>
                <w:b/>
                <w:bCs/>
              </w:rPr>
              <w:t>MINISTRUL TRANSPORTURILOR ŞI INFRASTRUCTURII</w:t>
            </w:r>
          </w:p>
          <w:p w14:paraId="7B6A7605" w14:textId="77777777" w:rsidR="005546BE" w:rsidRPr="00806026" w:rsidRDefault="005546BE" w:rsidP="002C0FA9">
            <w:pPr>
              <w:spacing w:line="276" w:lineRule="auto"/>
              <w:ind w:left="720" w:hanging="720"/>
              <w:jc w:val="center"/>
              <w:rPr>
                <w:b/>
                <w:bCs/>
              </w:rPr>
            </w:pPr>
          </w:p>
          <w:p w14:paraId="3E3E9B19" w14:textId="77777777" w:rsidR="005546BE" w:rsidRDefault="005546BE" w:rsidP="002C0FA9">
            <w:pPr>
              <w:spacing w:line="276" w:lineRule="auto"/>
              <w:ind w:left="720" w:hanging="720"/>
              <w:jc w:val="center"/>
              <w:rPr>
                <w:b/>
                <w:bCs/>
              </w:rPr>
            </w:pPr>
            <w:r w:rsidRPr="00806026">
              <w:rPr>
                <w:b/>
                <w:bCs/>
              </w:rPr>
              <w:t>Sorin Mihai GRINDEANU</w:t>
            </w:r>
          </w:p>
          <w:p w14:paraId="02D0DC89" w14:textId="4B98A2ED" w:rsidR="005546BE" w:rsidRDefault="005546BE" w:rsidP="002C0FA9">
            <w:pPr>
              <w:spacing w:line="276" w:lineRule="auto"/>
              <w:ind w:left="720" w:hanging="720"/>
              <w:jc w:val="center"/>
              <w:rPr>
                <w:b/>
                <w:bCs/>
              </w:rPr>
            </w:pPr>
          </w:p>
          <w:p w14:paraId="39AF3A2F" w14:textId="77777777" w:rsidR="005546BE" w:rsidRDefault="005546BE" w:rsidP="002C0FA9">
            <w:pPr>
              <w:spacing w:line="276" w:lineRule="auto"/>
              <w:ind w:left="720" w:hanging="720"/>
              <w:jc w:val="center"/>
              <w:rPr>
                <w:b/>
                <w:bCs/>
              </w:rPr>
            </w:pPr>
          </w:p>
          <w:tbl>
            <w:tblPr>
              <w:tblStyle w:val="TableGrid"/>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5"/>
              <w:gridCol w:w="4729"/>
            </w:tblGrid>
            <w:tr w:rsidR="005546BE" w14:paraId="51C2406F" w14:textId="77777777" w:rsidTr="002C0FA9">
              <w:tc>
                <w:tcPr>
                  <w:tcW w:w="5405" w:type="dxa"/>
                </w:tcPr>
                <w:p w14:paraId="21A92E11" w14:textId="77777777" w:rsidR="005546BE" w:rsidRDefault="005546BE" w:rsidP="002C0FA9">
                  <w:pPr>
                    <w:jc w:val="center"/>
                    <w:rPr>
                      <w:b/>
                      <w:bCs/>
                    </w:rPr>
                  </w:pPr>
                </w:p>
                <w:p w14:paraId="725901CA" w14:textId="77777777" w:rsidR="005546BE" w:rsidRDefault="005546BE" w:rsidP="002C0FA9">
                  <w:pPr>
                    <w:spacing w:after="120"/>
                    <w:jc w:val="center"/>
                    <w:rPr>
                      <w:b/>
                      <w:bCs/>
                    </w:rPr>
                  </w:pPr>
                  <w:r>
                    <w:rPr>
                      <w:b/>
                      <w:bCs/>
                    </w:rPr>
                    <w:t>MINISTRUL DEZVOLTĂRII, LUCRĂRILOR PUBLICE ȘI ADMINISTRAȚIEI</w:t>
                  </w:r>
                </w:p>
                <w:p w14:paraId="5BA69B64" w14:textId="77777777" w:rsidR="005546BE" w:rsidRDefault="005546BE" w:rsidP="002C0FA9">
                  <w:pPr>
                    <w:jc w:val="center"/>
                    <w:rPr>
                      <w:b/>
                      <w:bCs/>
                    </w:rPr>
                  </w:pPr>
                </w:p>
                <w:p w14:paraId="21A432A8" w14:textId="77777777" w:rsidR="005546BE" w:rsidRDefault="005546BE" w:rsidP="002C0FA9">
                  <w:pPr>
                    <w:jc w:val="center"/>
                    <w:rPr>
                      <w:b/>
                      <w:bCs/>
                    </w:rPr>
                  </w:pPr>
                  <w:r>
                    <w:rPr>
                      <w:b/>
                      <w:bCs/>
                    </w:rPr>
                    <w:t>CSEKE Attila-Zolt</w:t>
                  </w:r>
                  <w:r w:rsidRPr="004562CD">
                    <w:rPr>
                      <w:b/>
                      <w:bCs/>
                    </w:rPr>
                    <w:t>á</w:t>
                  </w:r>
                  <w:r>
                    <w:rPr>
                      <w:b/>
                      <w:bCs/>
                    </w:rPr>
                    <w:t xml:space="preserve">n </w:t>
                  </w:r>
                </w:p>
                <w:p w14:paraId="33381D04" w14:textId="77777777" w:rsidR="005546BE" w:rsidRDefault="005546BE" w:rsidP="002C0FA9">
                  <w:pPr>
                    <w:jc w:val="center"/>
                    <w:rPr>
                      <w:b/>
                      <w:bCs/>
                    </w:rPr>
                  </w:pPr>
                </w:p>
                <w:p w14:paraId="0ABDEEF5" w14:textId="77777777" w:rsidR="005546BE" w:rsidRDefault="005546BE" w:rsidP="002C0FA9">
                  <w:pPr>
                    <w:jc w:val="center"/>
                    <w:rPr>
                      <w:b/>
                      <w:bCs/>
                    </w:rPr>
                  </w:pPr>
                </w:p>
                <w:p w14:paraId="3384F1F0" w14:textId="77777777" w:rsidR="005546BE" w:rsidRDefault="005546BE" w:rsidP="002C0FA9">
                  <w:pPr>
                    <w:jc w:val="center"/>
                    <w:rPr>
                      <w:b/>
                      <w:bCs/>
                    </w:rPr>
                  </w:pPr>
                </w:p>
                <w:p w14:paraId="0E42623A" w14:textId="77777777" w:rsidR="005546BE" w:rsidRDefault="005546BE" w:rsidP="002C0FA9">
                  <w:pPr>
                    <w:jc w:val="center"/>
                    <w:rPr>
                      <w:b/>
                      <w:bCs/>
                    </w:rPr>
                  </w:pPr>
                </w:p>
                <w:p w14:paraId="23BEFCFA" w14:textId="77777777" w:rsidR="005546BE" w:rsidRDefault="005546BE" w:rsidP="002C0FA9">
                  <w:pPr>
                    <w:jc w:val="center"/>
                    <w:rPr>
                      <w:b/>
                      <w:bCs/>
                    </w:rPr>
                  </w:pPr>
                  <w:r>
                    <w:rPr>
                      <w:b/>
                      <w:bCs/>
                    </w:rPr>
                    <w:t>MINISTRUL AFACERILOR INTERNE</w:t>
                  </w:r>
                </w:p>
                <w:p w14:paraId="70FBB53F" w14:textId="77777777" w:rsidR="005546BE" w:rsidRDefault="005546BE" w:rsidP="002C0FA9">
                  <w:pPr>
                    <w:jc w:val="center"/>
                    <w:rPr>
                      <w:b/>
                      <w:bCs/>
                    </w:rPr>
                  </w:pPr>
                </w:p>
                <w:p w14:paraId="03651519" w14:textId="77777777" w:rsidR="005546BE" w:rsidRDefault="005546BE" w:rsidP="002C0FA9">
                  <w:pPr>
                    <w:jc w:val="center"/>
                    <w:rPr>
                      <w:b/>
                      <w:bCs/>
                    </w:rPr>
                  </w:pPr>
                  <w:r>
                    <w:rPr>
                      <w:b/>
                      <w:bCs/>
                    </w:rPr>
                    <w:t>Lucian Nicolae BODE</w:t>
                  </w:r>
                </w:p>
                <w:p w14:paraId="57E70013" w14:textId="77777777" w:rsidR="005546BE" w:rsidRDefault="005546BE" w:rsidP="002C0FA9">
                  <w:pPr>
                    <w:jc w:val="center"/>
                    <w:rPr>
                      <w:b/>
                      <w:bCs/>
                    </w:rPr>
                  </w:pPr>
                </w:p>
                <w:p w14:paraId="53FAC83F" w14:textId="77777777" w:rsidR="005546BE" w:rsidRDefault="005546BE" w:rsidP="002C0FA9">
                  <w:pPr>
                    <w:jc w:val="center"/>
                    <w:rPr>
                      <w:b/>
                      <w:bCs/>
                    </w:rPr>
                  </w:pPr>
                </w:p>
                <w:p w14:paraId="56E0EF94" w14:textId="77777777" w:rsidR="005546BE" w:rsidRDefault="005546BE" w:rsidP="002C0FA9">
                  <w:pPr>
                    <w:jc w:val="center"/>
                    <w:rPr>
                      <w:b/>
                      <w:bCs/>
                    </w:rPr>
                  </w:pPr>
                </w:p>
                <w:p w14:paraId="0E53E0AD" w14:textId="77777777" w:rsidR="005546BE" w:rsidRDefault="005546BE" w:rsidP="002C0FA9">
                  <w:pPr>
                    <w:jc w:val="center"/>
                    <w:rPr>
                      <w:b/>
                      <w:bCs/>
                    </w:rPr>
                  </w:pPr>
                </w:p>
                <w:p w14:paraId="0E3C6CEE" w14:textId="77777777" w:rsidR="005546BE" w:rsidRDefault="005546BE" w:rsidP="002C0FA9">
                  <w:pPr>
                    <w:jc w:val="center"/>
                    <w:rPr>
                      <w:b/>
                      <w:bCs/>
                    </w:rPr>
                  </w:pPr>
                </w:p>
                <w:p w14:paraId="3F2B9631" w14:textId="77777777" w:rsidR="005546BE" w:rsidRDefault="005546BE" w:rsidP="002C0FA9">
                  <w:pPr>
                    <w:jc w:val="center"/>
                    <w:rPr>
                      <w:b/>
                      <w:bCs/>
                    </w:rPr>
                  </w:pPr>
                </w:p>
                <w:p w14:paraId="2005EBC8" w14:textId="77777777" w:rsidR="005546BE" w:rsidRDefault="005546BE" w:rsidP="002C0FA9">
                  <w:pPr>
                    <w:jc w:val="center"/>
                    <w:rPr>
                      <w:b/>
                      <w:bCs/>
                    </w:rPr>
                  </w:pPr>
                </w:p>
              </w:tc>
              <w:tc>
                <w:tcPr>
                  <w:tcW w:w="4729" w:type="dxa"/>
                </w:tcPr>
                <w:p w14:paraId="1E331327" w14:textId="77777777" w:rsidR="005546BE" w:rsidRDefault="005546BE" w:rsidP="002C0FA9">
                  <w:pPr>
                    <w:spacing w:line="276" w:lineRule="auto"/>
                    <w:ind w:left="720" w:hanging="720"/>
                    <w:jc w:val="center"/>
                    <w:rPr>
                      <w:b/>
                      <w:bCs/>
                    </w:rPr>
                  </w:pPr>
                </w:p>
                <w:p w14:paraId="28727B30" w14:textId="77777777" w:rsidR="005546BE" w:rsidRDefault="005546BE" w:rsidP="002C0FA9">
                  <w:pPr>
                    <w:spacing w:line="276" w:lineRule="auto"/>
                    <w:ind w:left="720" w:hanging="720"/>
                    <w:jc w:val="center"/>
                    <w:rPr>
                      <w:rFonts w:eastAsia="Arial Unicode MS"/>
                      <w:b/>
                    </w:rPr>
                  </w:pPr>
                  <w:r>
                    <w:rPr>
                      <w:rFonts w:eastAsia="Arial Unicode MS"/>
                      <w:b/>
                    </w:rPr>
                    <w:t>MINISTRUL AGRICULTURII ȘI</w:t>
                  </w:r>
                </w:p>
                <w:p w14:paraId="4AECA6DF" w14:textId="77777777" w:rsidR="005546BE" w:rsidRDefault="005546BE" w:rsidP="002C0FA9">
                  <w:pPr>
                    <w:spacing w:line="276" w:lineRule="auto"/>
                    <w:ind w:left="720" w:hanging="720"/>
                    <w:jc w:val="center"/>
                    <w:rPr>
                      <w:rFonts w:eastAsia="Arial Unicode MS"/>
                      <w:b/>
                    </w:rPr>
                  </w:pPr>
                  <w:r>
                    <w:rPr>
                      <w:rFonts w:eastAsia="Arial Unicode MS"/>
                      <w:b/>
                    </w:rPr>
                    <w:t>DEZVOLTĂRII RURALE</w:t>
                  </w:r>
                </w:p>
                <w:p w14:paraId="73CA88F5" w14:textId="77777777" w:rsidR="005546BE" w:rsidRDefault="005546BE" w:rsidP="002C0FA9">
                  <w:pPr>
                    <w:spacing w:line="276" w:lineRule="auto"/>
                    <w:ind w:left="720" w:hanging="720"/>
                    <w:jc w:val="center"/>
                    <w:rPr>
                      <w:rFonts w:eastAsia="Arial Unicode MS"/>
                      <w:b/>
                    </w:rPr>
                  </w:pPr>
                </w:p>
                <w:p w14:paraId="3BF517F0" w14:textId="77777777" w:rsidR="005546BE" w:rsidRDefault="005546BE" w:rsidP="002C0FA9">
                  <w:pPr>
                    <w:spacing w:line="276" w:lineRule="auto"/>
                    <w:ind w:left="720" w:hanging="720"/>
                    <w:jc w:val="center"/>
                    <w:rPr>
                      <w:b/>
                      <w:bCs/>
                    </w:rPr>
                  </w:pPr>
                  <w:r>
                    <w:rPr>
                      <w:rFonts w:eastAsia="Arial Unicode MS"/>
                      <w:b/>
                    </w:rPr>
                    <w:t>Adrian-Ionuț CHESNOIU</w:t>
                  </w:r>
                </w:p>
                <w:p w14:paraId="44A4329F" w14:textId="77777777" w:rsidR="005546BE" w:rsidRDefault="005546BE" w:rsidP="002C0FA9">
                  <w:pPr>
                    <w:spacing w:line="276" w:lineRule="auto"/>
                    <w:ind w:left="720" w:hanging="720"/>
                    <w:jc w:val="center"/>
                    <w:rPr>
                      <w:b/>
                      <w:bCs/>
                    </w:rPr>
                  </w:pPr>
                </w:p>
                <w:p w14:paraId="6A36CED5" w14:textId="77777777" w:rsidR="005546BE" w:rsidRDefault="005546BE" w:rsidP="002C0FA9">
                  <w:pPr>
                    <w:spacing w:line="276" w:lineRule="auto"/>
                    <w:ind w:left="720" w:hanging="720"/>
                    <w:jc w:val="center"/>
                    <w:rPr>
                      <w:b/>
                      <w:bCs/>
                    </w:rPr>
                  </w:pPr>
                </w:p>
                <w:p w14:paraId="53A9AFBF" w14:textId="77777777" w:rsidR="005546BE" w:rsidRDefault="005546BE" w:rsidP="002C0FA9">
                  <w:pPr>
                    <w:spacing w:line="276" w:lineRule="auto"/>
                    <w:ind w:left="720" w:hanging="720"/>
                    <w:jc w:val="center"/>
                    <w:rPr>
                      <w:b/>
                      <w:bCs/>
                    </w:rPr>
                  </w:pPr>
                </w:p>
                <w:p w14:paraId="705C32FA" w14:textId="77777777" w:rsidR="009958DC" w:rsidRDefault="009958DC" w:rsidP="009958DC">
                  <w:pPr>
                    <w:jc w:val="center"/>
                    <w:rPr>
                      <w:b/>
                      <w:bCs/>
                    </w:rPr>
                  </w:pPr>
                  <w:r>
                    <w:rPr>
                      <w:b/>
                      <w:bCs/>
                    </w:rPr>
                    <w:t>MINISTRUL JUSTIȚIEI</w:t>
                  </w:r>
                </w:p>
                <w:p w14:paraId="1C1CA55F" w14:textId="77777777" w:rsidR="009958DC" w:rsidRDefault="009958DC" w:rsidP="009958DC">
                  <w:pPr>
                    <w:jc w:val="center"/>
                    <w:rPr>
                      <w:b/>
                      <w:bCs/>
                    </w:rPr>
                  </w:pPr>
                </w:p>
                <w:p w14:paraId="1200ED6E" w14:textId="77777777" w:rsidR="009958DC" w:rsidRDefault="009958DC" w:rsidP="009958DC">
                  <w:pPr>
                    <w:jc w:val="center"/>
                    <w:rPr>
                      <w:b/>
                      <w:bCs/>
                    </w:rPr>
                  </w:pPr>
                  <w:r>
                    <w:rPr>
                      <w:b/>
                      <w:bCs/>
                    </w:rPr>
                    <w:t>Marian-Cătălin PREDOIU</w:t>
                  </w:r>
                </w:p>
                <w:p w14:paraId="48A1461D" w14:textId="77777777" w:rsidR="009958DC" w:rsidRDefault="009958DC" w:rsidP="009958DC">
                  <w:pPr>
                    <w:jc w:val="center"/>
                    <w:rPr>
                      <w:b/>
                      <w:bCs/>
                    </w:rPr>
                  </w:pPr>
                </w:p>
                <w:p w14:paraId="14E16437" w14:textId="77777777" w:rsidR="005546BE" w:rsidRDefault="005546BE" w:rsidP="002C0FA9">
                  <w:pPr>
                    <w:spacing w:line="276" w:lineRule="auto"/>
                    <w:ind w:left="720" w:hanging="720"/>
                    <w:jc w:val="center"/>
                    <w:rPr>
                      <w:b/>
                      <w:bCs/>
                    </w:rPr>
                  </w:pPr>
                </w:p>
                <w:p w14:paraId="25CE5B0A" w14:textId="77777777" w:rsidR="005546BE" w:rsidRDefault="005546BE" w:rsidP="002C0FA9">
                  <w:pPr>
                    <w:jc w:val="center"/>
                    <w:rPr>
                      <w:b/>
                      <w:bCs/>
                    </w:rPr>
                  </w:pPr>
                </w:p>
                <w:p w14:paraId="788745ED" w14:textId="77777777" w:rsidR="005546BE" w:rsidRDefault="005546BE" w:rsidP="002C0FA9">
                  <w:pPr>
                    <w:jc w:val="center"/>
                    <w:rPr>
                      <w:b/>
                      <w:bCs/>
                    </w:rPr>
                  </w:pPr>
                </w:p>
                <w:p w14:paraId="7892973F" w14:textId="77777777" w:rsidR="005546BE" w:rsidRDefault="005546BE" w:rsidP="002C0FA9">
                  <w:pPr>
                    <w:jc w:val="center"/>
                    <w:rPr>
                      <w:b/>
                      <w:bCs/>
                    </w:rPr>
                  </w:pPr>
                </w:p>
                <w:p w14:paraId="2AC1395C" w14:textId="77777777" w:rsidR="005546BE" w:rsidRDefault="005546BE" w:rsidP="002C0FA9">
                  <w:pPr>
                    <w:jc w:val="center"/>
                    <w:rPr>
                      <w:b/>
                      <w:bCs/>
                    </w:rPr>
                  </w:pPr>
                </w:p>
              </w:tc>
            </w:tr>
          </w:tbl>
          <w:p w14:paraId="242EBD24" w14:textId="77777777" w:rsidR="005546BE" w:rsidRPr="004F521A" w:rsidRDefault="005546BE" w:rsidP="002C0FA9">
            <w:pPr>
              <w:spacing w:line="276" w:lineRule="auto"/>
              <w:ind w:left="720" w:hanging="720"/>
              <w:jc w:val="center"/>
              <w:rPr>
                <w:b/>
                <w:bCs/>
              </w:rPr>
            </w:pPr>
          </w:p>
        </w:tc>
      </w:tr>
    </w:tbl>
    <w:p w14:paraId="42EE09B5" w14:textId="77777777" w:rsidR="00020122" w:rsidRDefault="00020122" w:rsidP="00343C61">
      <w:pPr>
        <w:autoSpaceDE w:val="0"/>
        <w:autoSpaceDN w:val="0"/>
        <w:adjustRightInd w:val="0"/>
        <w:spacing w:after="120"/>
        <w:jc w:val="both"/>
      </w:pPr>
    </w:p>
    <w:p w14:paraId="5E0B0076" w14:textId="737097E6" w:rsidR="004F34E2" w:rsidRDefault="004F34E2" w:rsidP="00343C61">
      <w:pPr>
        <w:autoSpaceDE w:val="0"/>
        <w:autoSpaceDN w:val="0"/>
        <w:adjustRightInd w:val="0"/>
        <w:spacing w:after="120"/>
        <w:jc w:val="both"/>
      </w:pPr>
    </w:p>
    <w:p w14:paraId="41804425" w14:textId="70C3275D" w:rsidR="00882C19" w:rsidRDefault="00882C19" w:rsidP="00343C61">
      <w:pPr>
        <w:autoSpaceDE w:val="0"/>
        <w:autoSpaceDN w:val="0"/>
        <w:adjustRightInd w:val="0"/>
        <w:spacing w:after="120"/>
        <w:jc w:val="both"/>
      </w:pPr>
    </w:p>
    <w:p w14:paraId="2088B47D" w14:textId="77777777" w:rsidR="005546BE" w:rsidRDefault="005546BE" w:rsidP="00343C61">
      <w:pPr>
        <w:autoSpaceDE w:val="0"/>
        <w:autoSpaceDN w:val="0"/>
        <w:adjustRightInd w:val="0"/>
        <w:spacing w:after="120"/>
        <w:jc w:val="both"/>
        <w:sectPr w:rsidR="005546BE" w:rsidSect="008E1534">
          <w:pgSz w:w="12240" w:h="15840"/>
          <w:pgMar w:top="737" w:right="851" w:bottom="360" w:left="851" w:header="709" w:footer="709" w:gutter="0"/>
          <w:cols w:space="708"/>
          <w:docGrid w:linePitch="360"/>
        </w:sectPr>
      </w:pPr>
    </w:p>
    <w:p w14:paraId="09CA1885" w14:textId="291B5200" w:rsidR="00882C19" w:rsidRDefault="00882C19" w:rsidP="00343C61">
      <w:pPr>
        <w:autoSpaceDE w:val="0"/>
        <w:autoSpaceDN w:val="0"/>
        <w:adjustRightInd w:val="0"/>
        <w:spacing w:after="120"/>
        <w:jc w:val="both"/>
      </w:pPr>
    </w:p>
    <w:sectPr w:rsidR="00882C19"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E4A25" w14:textId="77777777" w:rsidR="00F543D0" w:rsidRDefault="00F543D0">
      <w:r>
        <w:separator/>
      </w:r>
    </w:p>
  </w:endnote>
  <w:endnote w:type="continuationSeparator" w:id="0">
    <w:p w14:paraId="4216BBB9" w14:textId="77777777" w:rsidR="00F543D0" w:rsidRDefault="00F54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F543D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F543D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CBF4D" w14:textId="77777777" w:rsidR="00F543D0" w:rsidRDefault="00F543D0">
      <w:r>
        <w:separator/>
      </w:r>
    </w:p>
  </w:footnote>
  <w:footnote w:type="continuationSeparator" w:id="0">
    <w:p w14:paraId="2911B64D" w14:textId="77777777" w:rsidR="00F543D0" w:rsidRDefault="00F543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AD9"/>
    <w:multiLevelType w:val="hybridMultilevel"/>
    <w:tmpl w:val="38C2D7AA"/>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24B69"/>
    <w:multiLevelType w:val="hybridMultilevel"/>
    <w:tmpl w:val="AFA4C696"/>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84429"/>
    <w:multiLevelType w:val="hybridMultilevel"/>
    <w:tmpl w:val="1150A4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12E46E06"/>
    <w:multiLevelType w:val="hybridMultilevel"/>
    <w:tmpl w:val="506244A8"/>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7B14E4"/>
    <w:multiLevelType w:val="hybridMultilevel"/>
    <w:tmpl w:val="5652E1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5502D5A"/>
    <w:multiLevelType w:val="hybridMultilevel"/>
    <w:tmpl w:val="24CE5258"/>
    <w:lvl w:ilvl="0" w:tplc="DE4A5BC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AF2B95"/>
    <w:multiLevelType w:val="multilevel"/>
    <w:tmpl w:val="3E7209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2753710"/>
    <w:multiLevelType w:val="hybridMultilevel"/>
    <w:tmpl w:val="D05AA9A2"/>
    <w:lvl w:ilvl="0" w:tplc="23E447B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7"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0" w15:restartNumberingAfterBreak="0">
    <w:nsid w:val="7D9D565A"/>
    <w:multiLevelType w:val="hybridMultilevel"/>
    <w:tmpl w:val="7494B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num w:numId="1" w16cid:durableId="179707944">
    <w:abstractNumId w:val="1"/>
  </w:num>
  <w:num w:numId="2" w16cid:durableId="1988320280">
    <w:abstractNumId w:val="19"/>
  </w:num>
  <w:num w:numId="3" w16cid:durableId="253125766">
    <w:abstractNumId w:val="15"/>
  </w:num>
  <w:num w:numId="4" w16cid:durableId="964652582">
    <w:abstractNumId w:val="3"/>
  </w:num>
  <w:num w:numId="5" w16cid:durableId="1905214366">
    <w:abstractNumId w:val="10"/>
  </w:num>
  <w:num w:numId="6" w16cid:durableId="882595523">
    <w:abstractNumId w:val="18"/>
  </w:num>
  <w:num w:numId="7" w16cid:durableId="1285043699">
    <w:abstractNumId w:val="8"/>
  </w:num>
  <w:num w:numId="8" w16cid:durableId="21174796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3240537">
    <w:abstractNumId w:val="17"/>
  </w:num>
  <w:num w:numId="10" w16cid:durableId="1279333216">
    <w:abstractNumId w:val="13"/>
  </w:num>
  <w:num w:numId="11" w16cid:durableId="2085030628">
    <w:abstractNumId w:val="11"/>
  </w:num>
  <w:num w:numId="12" w16cid:durableId="595745874">
    <w:abstractNumId w:val="7"/>
  </w:num>
  <w:num w:numId="13" w16cid:durableId="1086418519">
    <w:abstractNumId w:val="6"/>
  </w:num>
  <w:num w:numId="14" w16cid:durableId="1075204619">
    <w:abstractNumId w:val="9"/>
  </w:num>
  <w:num w:numId="15" w16cid:durableId="1128815355">
    <w:abstractNumId w:val="2"/>
  </w:num>
  <w:num w:numId="16" w16cid:durableId="1506245677">
    <w:abstractNumId w:val="16"/>
  </w:num>
  <w:num w:numId="17" w16cid:durableId="1120145435">
    <w:abstractNumId w:val="20"/>
  </w:num>
  <w:num w:numId="18" w16cid:durableId="45226353">
    <w:abstractNumId w:val="0"/>
  </w:num>
  <w:num w:numId="19" w16cid:durableId="727918711">
    <w:abstractNumId w:val="5"/>
  </w:num>
  <w:num w:numId="20" w16cid:durableId="854421861">
    <w:abstractNumId w:val="4"/>
  </w:num>
  <w:num w:numId="21" w16cid:durableId="1899434397">
    <w:abstractNumId w:val="12"/>
  </w:num>
  <w:num w:numId="22" w16cid:durableId="10318020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47C8"/>
    <w:rsid w:val="000155D5"/>
    <w:rsid w:val="000160F3"/>
    <w:rsid w:val="000173F2"/>
    <w:rsid w:val="00017D04"/>
    <w:rsid w:val="00020122"/>
    <w:rsid w:val="00020EBB"/>
    <w:rsid w:val="0002169B"/>
    <w:rsid w:val="0002299E"/>
    <w:rsid w:val="00024F37"/>
    <w:rsid w:val="00025015"/>
    <w:rsid w:val="000260DD"/>
    <w:rsid w:val="000265F7"/>
    <w:rsid w:val="00026B13"/>
    <w:rsid w:val="00027469"/>
    <w:rsid w:val="00031D8D"/>
    <w:rsid w:val="0003205B"/>
    <w:rsid w:val="00035D17"/>
    <w:rsid w:val="000369EF"/>
    <w:rsid w:val="00040B7B"/>
    <w:rsid w:val="00043471"/>
    <w:rsid w:val="00043911"/>
    <w:rsid w:val="00044209"/>
    <w:rsid w:val="0004452D"/>
    <w:rsid w:val="00046B44"/>
    <w:rsid w:val="000503A8"/>
    <w:rsid w:val="00054869"/>
    <w:rsid w:val="00054DF8"/>
    <w:rsid w:val="000563C0"/>
    <w:rsid w:val="00057629"/>
    <w:rsid w:val="00057EC8"/>
    <w:rsid w:val="00060E2F"/>
    <w:rsid w:val="00061E6F"/>
    <w:rsid w:val="0006216F"/>
    <w:rsid w:val="000626E3"/>
    <w:rsid w:val="00062BA0"/>
    <w:rsid w:val="0006409E"/>
    <w:rsid w:val="00064A6B"/>
    <w:rsid w:val="00064E28"/>
    <w:rsid w:val="00070830"/>
    <w:rsid w:val="00072949"/>
    <w:rsid w:val="00073195"/>
    <w:rsid w:val="000733D3"/>
    <w:rsid w:val="0007609F"/>
    <w:rsid w:val="00076C55"/>
    <w:rsid w:val="000808EE"/>
    <w:rsid w:val="00081475"/>
    <w:rsid w:val="00083DB6"/>
    <w:rsid w:val="00083EAF"/>
    <w:rsid w:val="00084688"/>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289"/>
    <w:rsid w:val="000A437E"/>
    <w:rsid w:val="000A6298"/>
    <w:rsid w:val="000A71F1"/>
    <w:rsid w:val="000B036B"/>
    <w:rsid w:val="000B12C8"/>
    <w:rsid w:val="000B1818"/>
    <w:rsid w:val="000B391A"/>
    <w:rsid w:val="000B3D76"/>
    <w:rsid w:val="000B4945"/>
    <w:rsid w:val="000B4DE0"/>
    <w:rsid w:val="000B55D8"/>
    <w:rsid w:val="000B650E"/>
    <w:rsid w:val="000B665D"/>
    <w:rsid w:val="000B7506"/>
    <w:rsid w:val="000B753E"/>
    <w:rsid w:val="000C3277"/>
    <w:rsid w:val="000C3586"/>
    <w:rsid w:val="000C3625"/>
    <w:rsid w:val="000C4A4F"/>
    <w:rsid w:val="000C54A4"/>
    <w:rsid w:val="000C614B"/>
    <w:rsid w:val="000C7D63"/>
    <w:rsid w:val="000C7EAF"/>
    <w:rsid w:val="000C7EEC"/>
    <w:rsid w:val="000D0889"/>
    <w:rsid w:val="000D23B9"/>
    <w:rsid w:val="000D2B20"/>
    <w:rsid w:val="000D315E"/>
    <w:rsid w:val="000D3B76"/>
    <w:rsid w:val="000D403B"/>
    <w:rsid w:val="000D4132"/>
    <w:rsid w:val="000D4C09"/>
    <w:rsid w:val="000E0EA4"/>
    <w:rsid w:val="000E12A6"/>
    <w:rsid w:val="000E2C2D"/>
    <w:rsid w:val="000E307E"/>
    <w:rsid w:val="000E3A58"/>
    <w:rsid w:val="000E6FCF"/>
    <w:rsid w:val="000E74F5"/>
    <w:rsid w:val="000F26C2"/>
    <w:rsid w:val="000F40EF"/>
    <w:rsid w:val="000F5ED0"/>
    <w:rsid w:val="000F6105"/>
    <w:rsid w:val="000F7896"/>
    <w:rsid w:val="00100251"/>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17E2C"/>
    <w:rsid w:val="00121CCC"/>
    <w:rsid w:val="001250F7"/>
    <w:rsid w:val="00125245"/>
    <w:rsid w:val="00126BBF"/>
    <w:rsid w:val="00130ADF"/>
    <w:rsid w:val="00131281"/>
    <w:rsid w:val="001313D8"/>
    <w:rsid w:val="0013230E"/>
    <w:rsid w:val="00133A3B"/>
    <w:rsid w:val="0013619D"/>
    <w:rsid w:val="0013676D"/>
    <w:rsid w:val="00137A13"/>
    <w:rsid w:val="001459BC"/>
    <w:rsid w:val="0014608E"/>
    <w:rsid w:val="0014728C"/>
    <w:rsid w:val="001500EA"/>
    <w:rsid w:val="00152085"/>
    <w:rsid w:val="001528E8"/>
    <w:rsid w:val="00153B2A"/>
    <w:rsid w:val="0015446A"/>
    <w:rsid w:val="001544DC"/>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630C"/>
    <w:rsid w:val="001776C1"/>
    <w:rsid w:val="00177CD3"/>
    <w:rsid w:val="00177EC3"/>
    <w:rsid w:val="00180B7B"/>
    <w:rsid w:val="00180DB8"/>
    <w:rsid w:val="00181323"/>
    <w:rsid w:val="0018173D"/>
    <w:rsid w:val="00181DB6"/>
    <w:rsid w:val="00183326"/>
    <w:rsid w:val="0019189C"/>
    <w:rsid w:val="001919CC"/>
    <w:rsid w:val="0019387C"/>
    <w:rsid w:val="001945C9"/>
    <w:rsid w:val="0019599B"/>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FE1"/>
    <w:rsid w:val="001B6DD8"/>
    <w:rsid w:val="001B7961"/>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14"/>
    <w:rsid w:val="001E55B3"/>
    <w:rsid w:val="001E69E4"/>
    <w:rsid w:val="001E6A4B"/>
    <w:rsid w:val="001E708B"/>
    <w:rsid w:val="001E7255"/>
    <w:rsid w:val="001F14A2"/>
    <w:rsid w:val="001F1E7E"/>
    <w:rsid w:val="001F418F"/>
    <w:rsid w:val="001F6D5C"/>
    <w:rsid w:val="001F700D"/>
    <w:rsid w:val="001F7034"/>
    <w:rsid w:val="001F733F"/>
    <w:rsid w:val="00200720"/>
    <w:rsid w:val="00201B23"/>
    <w:rsid w:val="00210E9C"/>
    <w:rsid w:val="00211627"/>
    <w:rsid w:val="002116FE"/>
    <w:rsid w:val="00211AF7"/>
    <w:rsid w:val="00213877"/>
    <w:rsid w:val="00213BDB"/>
    <w:rsid w:val="00214287"/>
    <w:rsid w:val="0021538C"/>
    <w:rsid w:val="002153E2"/>
    <w:rsid w:val="00217238"/>
    <w:rsid w:val="00217BF3"/>
    <w:rsid w:val="00220BDB"/>
    <w:rsid w:val="00221301"/>
    <w:rsid w:val="00221987"/>
    <w:rsid w:val="00221B2B"/>
    <w:rsid w:val="00223491"/>
    <w:rsid w:val="00223AFB"/>
    <w:rsid w:val="002248CC"/>
    <w:rsid w:val="00225653"/>
    <w:rsid w:val="00227A62"/>
    <w:rsid w:val="00230EAE"/>
    <w:rsid w:val="00231324"/>
    <w:rsid w:val="00231F26"/>
    <w:rsid w:val="00232ED4"/>
    <w:rsid w:val="00232F5B"/>
    <w:rsid w:val="0023360D"/>
    <w:rsid w:val="002337CA"/>
    <w:rsid w:val="00233A87"/>
    <w:rsid w:val="00233D49"/>
    <w:rsid w:val="0023404B"/>
    <w:rsid w:val="002348DD"/>
    <w:rsid w:val="00234AB0"/>
    <w:rsid w:val="00234B65"/>
    <w:rsid w:val="002354D3"/>
    <w:rsid w:val="00235F8D"/>
    <w:rsid w:val="002404DC"/>
    <w:rsid w:val="002404F7"/>
    <w:rsid w:val="00244CF8"/>
    <w:rsid w:val="00250C5C"/>
    <w:rsid w:val="00251605"/>
    <w:rsid w:val="0025491E"/>
    <w:rsid w:val="00256383"/>
    <w:rsid w:val="0025682E"/>
    <w:rsid w:val="00260E13"/>
    <w:rsid w:val="002623AD"/>
    <w:rsid w:val="00262462"/>
    <w:rsid w:val="0026264B"/>
    <w:rsid w:val="00262AAC"/>
    <w:rsid w:val="00262CFA"/>
    <w:rsid w:val="00263EF2"/>
    <w:rsid w:val="00267571"/>
    <w:rsid w:val="00271A91"/>
    <w:rsid w:val="00271D4C"/>
    <w:rsid w:val="00272D53"/>
    <w:rsid w:val="0027308F"/>
    <w:rsid w:val="00273B5F"/>
    <w:rsid w:val="00275947"/>
    <w:rsid w:val="00275D3D"/>
    <w:rsid w:val="00276B03"/>
    <w:rsid w:val="0027750A"/>
    <w:rsid w:val="00280BAF"/>
    <w:rsid w:val="00282E65"/>
    <w:rsid w:val="00283DDB"/>
    <w:rsid w:val="00286173"/>
    <w:rsid w:val="00286541"/>
    <w:rsid w:val="002869DC"/>
    <w:rsid w:val="00286DEC"/>
    <w:rsid w:val="00294152"/>
    <w:rsid w:val="0029430E"/>
    <w:rsid w:val="00294D46"/>
    <w:rsid w:val="002A409A"/>
    <w:rsid w:val="002A41C3"/>
    <w:rsid w:val="002A4A4D"/>
    <w:rsid w:val="002A7775"/>
    <w:rsid w:val="002A7B24"/>
    <w:rsid w:val="002B2155"/>
    <w:rsid w:val="002B28B0"/>
    <w:rsid w:val="002B5204"/>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A2D"/>
    <w:rsid w:val="002D3CFD"/>
    <w:rsid w:val="002D519D"/>
    <w:rsid w:val="002D63DE"/>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30050A"/>
    <w:rsid w:val="00300E1C"/>
    <w:rsid w:val="00302ADB"/>
    <w:rsid w:val="00302D6F"/>
    <w:rsid w:val="00302EF5"/>
    <w:rsid w:val="003034B1"/>
    <w:rsid w:val="00304361"/>
    <w:rsid w:val="00304748"/>
    <w:rsid w:val="00305061"/>
    <w:rsid w:val="0030581C"/>
    <w:rsid w:val="00305E5F"/>
    <w:rsid w:val="00306119"/>
    <w:rsid w:val="00310F95"/>
    <w:rsid w:val="00312439"/>
    <w:rsid w:val="003127E6"/>
    <w:rsid w:val="00312E6E"/>
    <w:rsid w:val="00312FF3"/>
    <w:rsid w:val="003138A1"/>
    <w:rsid w:val="00315CB8"/>
    <w:rsid w:val="003179ED"/>
    <w:rsid w:val="00320940"/>
    <w:rsid w:val="00320B83"/>
    <w:rsid w:val="00322480"/>
    <w:rsid w:val="00324260"/>
    <w:rsid w:val="00324785"/>
    <w:rsid w:val="00324938"/>
    <w:rsid w:val="00325BC3"/>
    <w:rsid w:val="003278FD"/>
    <w:rsid w:val="00330048"/>
    <w:rsid w:val="00332715"/>
    <w:rsid w:val="00332FEB"/>
    <w:rsid w:val="00333AB9"/>
    <w:rsid w:val="003357CA"/>
    <w:rsid w:val="00335C69"/>
    <w:rsid w:val="003411FB"/>
    <w:rsid w:val="00343C61"/>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28FB"/>
    <w:rsid w:val="00365A86"/>
    <w:rsid w:val="00365DE7"/>
    <w:rsid w:val="003668CF"/>
    <w:rsid w:val="00373CF4"/>
    <w:rsid w:val="0037559F"/>
    <w:rsid w:val="00375B28"/>
    <w:rsid w:val="0037675E"/>
    <w:rsid w:val="00377E94"/>
    <w:rsid w:val="00381090"/>
    <w:rsid w:val="00381CD7"/>
    <w:rsid w:val="003832B6"/>
    <w:rsid w:val="0038428D"/>
    <w:rsid w:val="00385BC3"/>
    <w:rsid w:val="003864F6"/>
    <w:rsid w:val="00390E31"/>
    <w:rsid w:val="00391737"/>
    <w:rsid w:val="0039344D"/>
    <w:rsid w:val="00393638"/>
    <w:rsid w:val="00396A04"/>
    <w:rsid w:val="00397170"/>
    <w:rsid w:val="00397570"/>
    <w:rsid w:val="003A3349"/>
    <w:rsid w:val="003A367D"/>
    <w:rsid w:val="003A6698"/>
    <w:rsid w:val="003A7570"/>
    <w:rsid w:val="003A7CA2"/>
    <w:rsid w:val="003A7CC0"/>
    <w:rsid w:val="003B02B3"/>
    <w:rsid w:val="003B0C77"/>
    <w:rsid w:val="003B2329"/>
    <w:rsid w:val="003B3A2C"/>
    <w:rsid w:val="003B3F0B"/>
    <w:rsid w:val="003B424D"/>
    <w:rsid w:val="003B68CD"/>
    <w:rsid w:val="003B6E10"/>
    <w:rsid w:val="003B717D"/>
    <w:rsid w:val="003C1670"/>
    <w:rsid w:val="003C19BF"/>
    <w:rsid w:val="003C4D24"/>
    <w:rsid w:val="003C56CF"/>
    <w:rsid w:val="003C6B82"/>
    <w:rsid w:val="003C6D3A"/>
    <w:rsid w:val="003D092D"/>
    <w:rsid w:val="003D4A34"/>
    <w:rsid w:val="003D6235"/>
    <w:rsid w:val="003D64A9"/>
    <w:rsid w:val="003E080A"/>
    <w:rsid w:val="003E0917"/>
    <w:rsid w:val="003E358F"/>
    <w:rsid w:val="003E5FF2"/>
    <w:rsid w:val="003E628B"/>
    <w:rsid w:val="003F046A"/>
    <w:rsid w:val="003F08B7"/>
    <w:rsid w:val="003F10F8"/>
    <w:rsid w:val="003F4EA4"/>
    <w:rsid w:val="003F5CF6"/>
    <w:rsid w:val="003F6ACA"/>
    <w:rsid w:val="003F7AF4"/>
    <w:rsid w:val="0040003B"/>
    <w:rsid w:val="004005AC"/>
    <w:rsid w:val="004007BE"/>
    <w:rsid w:val="00402A15"/>
    <w:rsid w:val="00403200"/>
    <w:rsid w:val="0040434F"/>
    <w:rsid w:val="00405F21"/>
    <w:rsid w:val="00406B07"/>
    <w:rsid w:val="00406E45"/>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348E"/>
    <w:rsid w:val="004449A8"/>
    <w:rsid w:val="004449F4"/>
    <w:rsid w:val="00445A50"/>
    <w:rsid w:val="00446A81"/>
    <w:rsid w:val="00446B21"/>
    <w:rsid w:val="00446C51"/>
    <w:rsid w:val="004472F0"/>
    <w:rsid w:val="004516D9"/>
    <w:rsid w:val="004524AA"/>
    <w:rsid w:val="00454D72"/>
    <w:rsid w:val="004555DD"/>
    <w:rsid w:val="00455719"/>
    <w:rsid w:val="004561E9"/>
    <w:rsid w:val="004562CD"/>
    <w:rsid w:val="0045656F"/>
    <w:rsid w:val="00456611"/>
    <w:rsid w:val="0046084F"/>
    <w:rsid w:val="00460CE3"/>
    <w:rsid w:val="00461DC3"/>
    <w:rsid w:val="0046279C"/>
    <w:rsid w:val="00462C37"/>
    <w:rsid w:val="00463434"/>
    <w:rsid w:val="00463E98"/>
    <w:rsid w:val="00464AED"/>
    <w:rsid w:val="0046568A"/>
    <w:rsid w:val="00473382"/>
    <w:rsid w:val="00473D2E"/>
    <w:rsid w:val="00473DA2"/>
    <w:rsid w:val="00474119"/>
    <w:rsid w:val="00475C30"/>
    <w:rsid w:val="0047738F"/>
    <w:rsid w:val="00477DA1"/>
    <w:rsid w:val="004803F0"/>
    <w:rsid w:val="004806BE"/>
    <w:rsid w:val="00481A82"/>
    <w:rsid w:val="004841A2"/>
    <w:rsid w:val="00486DF5"/>
    <w:rsid w:val="00492D8F"/>
    <w:rsid w:val="00493464"/>
    <w:rsid w:val="004939DF"/>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6A0A"/>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E1034"/>
    <w:rsid w:val="004E13AF"/>
    <w:rsid w:val="004E2CA0"/>
    <w:rsid w:val="004E40FD"/>
    <w:rsid w:val="004E789F"/>
    <w:rsid w:val="004F068D"/>
    <w:rsid w:val="004F0E4B"/>
    <w:rsid w:val="004F1FFD"/>
    <w:rsid w:val="004F34E2"/>
    <w:rsid w:val="004F49AA"/>
    <w:rsid w:val="004F521A"/>
    <w:rsid w:val="004F551E"/>
    <w:rsid w:val="005005B8"/>
    <w:rsid w:val="0050109F"/>
    <w:rsid w:val="00505AF3"/>
    <w:rsid w:val="005066F6"/>
    <w:rsid w:val="00513E24"/>
    <w:rsid w:val="00515920"/>
    <w:rsid w:val="00515AD8"/>
    <w:rsid w:val="00515DE0"/>
    <w:rsid w:val="00520345"/>
    <w:rsid w:val="00520BE3"/>
    <w:rsid w:val="00522A8B"/>
    <w:rsid w:val="0052442F"/>
    <w:rsid w:val="00524BB2"/>
    <w:rsid w:val="00525FA8"/>
    <w:rsid w:val="00527866"/>
    <w:rsid w:val="00530AC8"/>
    <w:rsid w:val="0053145E"/>
    <w:rsid w:val="0053190B"/>
    <w:rsid w:val="0053303E"/>
    <w:rsid w:val="005338D3"/>
    <w:rsid w:val="00533DD2"/>
    <w:rsid w:val="00533E19"/>
    <w:rsid w:val="0053558D"/>
    <w:rsid w:val="0053559E"/>
    <w:rsid w:val="0053566B"/>
    <w:rsid w:val="00540381"/>
    <w:rsid w:val="00542411"/>
    <w:rsid w:val="00543A0A"/>
    <w:rsid w:val="005444AB"/>
    <w:rsid w:val="00546B5F"/>
    <w:rsid w:val="005514F5"/>
    <w:rsid w:val="00552EB0"/>
    <w:rsid w:val="005546BE"/>
    <w:rsid w:val="00554716"/>
    <w:rsid w:val="00555D3D"/>
    <w:rsid w:val="00561803"/>
    <w:rsid w:val="00562652"/>
    <w:rsid w:val="0056358F"/>
    <w:rsid w:val="005649C0"/>
    <w:rsid w:val="00565752"/>
    <w:rsid w:val="00566969"/>
    <w:rsid w:val="00566EBF"/>
    <w:rsid w:val="00571569"/>
    <w:rsid w:val="00574C6C"/>
    <w:rsid w:val="00575BCE"/>
    <w:rsid w:val="0057730A"/>
    <w:rsid w:val="00577623"/>
    <w:rsid w:val="0058155C"/>
    <w:rsid w:val="00582047"/>
    <w:rsid w:val="00583D6C"/>
    <w:rsid w:val="00584568"/>
    <w:rsid w:val="00584995"/>
    <w:rsid w:val="00584BC8"/>
    <w:rsid w:val="00586890"/>
    <w:rsid w:val="00587B19"/>
    <w:rsid w:val="00591469"/>
    <w:rsid w:val="00595C2D"/>
    <w:rsid w:val="005966F6"/>
    <w:rsid w:val="0059789A"/>
    <w:rsid w:val="00597910"/>
    <w:rsid w:val="005A133E"/>
    <w:rsid w:val="005A13C5"/>
    <w:rsid w:val="005A1D6C"/>
    <w:rsid w:val="005A2F37"/>
    <w:rsid w:val="005A2FF2"/>
    <w:rsid w:val="005A47ED"/>
    <w:rsid w:val="005A506E"/>
    <w:rsid w:val="005A5A3E"/>
    <w:rsid w:val="005A5D29"/>
    <w:rsid w:val="005A7989"/>
    <w:rsid w:val="005B02AB"/>
    <w:rsid w:val="005B17BE"/>
    <w:rsid w:val="005B18ED"/>
    <w:rsid w:val="005B31F7"/>
    <w:rsid w:val="005B3992"/>
    <w:rsid w:val="005B58FF"/>
    <w:rsid w:val="005B68C3"/>
    <w:rsid w:val="005B716F"/>
    <w:rsid w:val="005C0A51"/>
    <w:rsid w:val="005C204E"/>
    <w:rsid w:val="005C22D6"/>
    <w:rsid w:val="005C2F53"/>
    <w:rsid w:val="005C5DD4"/>
    <w:rsid w:val="005D0029"/>
    <w:rsid w:val="005D05C7"/>
    <w:rsid w:val="005D33F6"/>
    <w:rsid w:val="005D3847"/>
    <w:rsid w:val="005D4320"/>
    <w:rsid w:val="005D4B0F"/>
    <w:rsid w:val="005D4F6E"/>
    <w:rsid w:val="005D66B3"/>
    <w:rsid w:val="005D6B6E"/>
    <w:rsid w:val="005E24DC"/>
    <w:rsid w:val="005E28B9"/>
    <w:rsid w:val="005E318B"/>
    <w:rsid w:val="005E34BD"/>
    <w:rsid w:val="005E494D"/>
    <w:rsid w:val="005E662E"/>
    <w:rsid w:val="005E6BD7"/>
    <w:rsid w:val="005E71B7"/>
    <w:rsid w:val="005E72DA"/>
    <w:rsid w:val="005F0EF5"/>
    <w:rsid w:val="005F27A0"/>
    <w:rsid w:val="005F2815"/>
    <w:rsid w:val="005F3CF4"/>
    <w:rsid w:val="005F6E40"/>
    <w:rsid w:val="00601913"/>
    <w:rsid w:val="0060421A"/>
    <w:rsid w:val="00611340"/>
    <w:rsid w:val="00611644"/>
    <w:rsid w:val="0061330D"/>
    <w:rsid w:val="00615AA1"/>
    <w:rsid w:val="00615FE9"/>
    <w:rsid w:val="006174FC"/>
    <w:rsid w:val="0062007D"/>
    <w:rsid w:val="006234A3"/>
    <w:rsid w:val="00623B34"/>
    <w:rsid w:val="00623B3A"/>
    <w:rsid w:val="00624E3D"/>
    <w:rsid w:val="006259CC"/>
    <w:rsid w:val="006306C6"/>
    <w:rsid w:val="006308CD"/>
    <w:rsid w:val="006314DE"/>
    <w:rsid w:val="0063374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66DD4"/>
    <w:rsid w:val="00667019"/>
    <w:rsid w:val="00670C79"/>
    <w:rsid w:val="00670DA7"/>
    <w:rsid w:val="00671536"/>
    <w:rsid w:val="0067280E"/>
    <w:rsid w:val="0067373F"/>
    <w:rsid w:val="006737CE"/>
    <w:rsid w:val="00674168"/>
    <w:rsid w:val="00674D58"/>
    <w:rsid w:val="00674E7A"/>
    <w:rsid w:val="0067569B"/>
    <w:rsid w:val="00677B92"/>
    <w:rsid w:val="00680184"/>
    <w:rsid w:val="00680196"/>
    <w:rsid w:val="006801F0"/>
    <w:rsid w:val="006803EA"/>
    <w:rsid w:val="006813E4"/>
    <w:rsid w:val="00683D39"/>
    <w:rsid w:val="00685CA1"/>
    <w:rsid w:val="00687A8C"/>
    <w:rsid w:val="00693450"/>
    <w:rsid w:val="00695862"/>
    <w:rsid w:val="00695912"/>
    <w:rsid w:val="00696435"/>
    <w:rsid w:val="006964C3"/>
    <w:rsid w:val="00697C9C"/>
    <w:rsid w:val="006A53C9"/>
    <w:rsid w:val="006A7DC9"/>
    <w:rsid w:val="006B0230"/>
    <w:rsid w:val="006B075E"/>
    <w:rsid w:val="006B0F3D"/>
    <w:rsid w:val="006B135C"/>
    <w:rsid w:val="006C1EBB"/>
    <w:rsid w:val="006C3986"/>
    <w:rsid w:val="006C4F78"/>
    <w:rsid w:val="006C63AE"/>
    <w:rsid w:val="006C63C2"/>
    <w:rsid w:val="006C711B"/>
    <w:rsid w:val="006D07D6"/>
    <w:rsid w:val="006D09F8"/>
    <w:rsid w:val="006D2138"/>
    <w:rsid w:val="006D37D0"/>
    <w:rsid w:val="006D46B5"/>
    <w:rsid w:val="006D4D2E"/>
    <w:rsid w:val="006D52AD"/>
    <w:rsid w:val="006E1DDD"/>
    <w:rsid w:val="006E48E4"/>
    <w:rsid w:val="006E4FBF"/>
    <w:rsid w:val="006E6287"/>
    <w:rsid w:val="006E718D"/>
    <w:rsid w:val="006E7C08"/>
    <w:rsid w:val="006F1F12"/>
    <w:rsid w:val="006F28C3"/>
    <w:rsid w:val="006F2A8A"/>
    <w:rsid w:val="006F2F9D"/>
    <w:rsid w:val="006F350D"/>
    <w:rsid w:val="006F4543"/>
    <w:rsid w:val="006F57C0"/>
    <w:rsid w:val="006F66B1"/>
    <w:rsid w:val="006F72EC"/>
    <w:rsid w:val="006F7D98"/>
    <w:rsid w:val="007050B8"/>
    <w:rsid w:val="00705F15"/>
    <w:rsid w:val="00707949"/>
    <w:rsid w:val="007118D7"/>
    <w:rsid w:val="00712405"/>
    <w:rsid w:val="00713515"/>
    <w:rsid w:val="00720217"/>
    <w:rsid w:val="00721E13"/>
    <w:rsid w:val="00723488"/>
    <w:rsid w:val="00723783"/>
    <w:rsid w:val="00723AC4"/>
    <w:rsid w:val="00723BA7"/>
    <w:rsid w:val="00723E83"/>
    <w:rsid w:val="00724307"/>
    <w:rsid w:val="0072479B"/>
    <w:rsid w:val="00724EF9"/>
    <w:rsid w:val="0072598F"/>
    <w:rsid w:val="00725A79"/>
    <w:rsid w:val="007263F0"/>
    <w:rsid w:val="00726D70"/>
    <w:rsid w:val="00727AF1"/>
    <w:rsid w:val="00727BB5"/>
    <w:rsid w:val="00727F76"/>
    <w:rsid w:val="00730AD6"/>
    <w:rsid w:val="007314E7"/>
    <w:rsid w:val="00735154"/>
    <w:rsid w:val="007359E9"/>
    <w:rsid w:val="00736318"/>
    <w:rsid w:val="007419BA"/>
    <w:rsid w:val="00741AA7"/>
    <w:rsid w:val="00742BEF"/>
    <w:rsid w:val="00742E10"/>
    <w:rsid w:val="0074315A"/>
    <w:rsid w:val="007478F2"/>
    <w:rsid w:val="007527FA"/>
    <w:rsid w:val="00752B06"/>
    <w:rsid w:val="00757DD1"/>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8437B"/>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01C"/>
    <w:rsid w:val="007B37F8"/>
    <w:rsid w:val="007B5C1D"/>
    <w:rsid w:val="007B66A7"/>
    <w:rsid w:val="007B6888"/>
    <w:rsid w:val="007C16BF"/>
    <w:rsid w:val="007C358C"/>
    <w:rsid w:val="007C3CB1"/>
    <w:rsid w:val="007C6AC2"/>
    <w:rsid w:val="007C6C67"/>
    <w:rsid w:val="007D1532"/>
    <w:rsid w:val="007D26F6"/>
    <w:rsid w:val="007D383B"/>
    <w:rsid w:val="007D3AFC"/>
    <w:rsid w:val="007D59C7"/>
    <w:rsid w:val="007D5B0F"/>
    <w:rsid w:val="007D6BE6"/>
    <w:rsid w:val="007E2B3E"/>
    <w:rsid w:val="007E2F46"/>
    <w:rsid w:val="007E315C"/>
    <w:rsid w:val="007E6D8E"/>
    <w:rsid w:val="007E7000"/>
    <w:rsid w:val="007F14F5"/>
    <w:rsid w:val="007F7226"/>
    <w:rsid w:val="0080099F"/>
    <w:rsid w:val="0080159B"/>
    <w:rsid w:val="008041B9"/>
    <w:rsid w:val="008042E9"/>
    <w:rsid w:val="0080435E"/>
    <w:rsid w:val="00805594"/>
    <w:rsid w:val="00806A0E"/>
    <w:rsid w:val="00810336"/>
    <w:rsid w:val="00812F1A"/>
    <w:rsid w:val="00814541"/>
    <w:rsid w:val="008147DC"/>
    <w:rsid w:val="00816500"/>
    <w:rsid w:val="00820027"/>
    <w:rsid w:val="00820EC8"/>
    <w:rsid w:val="00821135"/>
    <w:rsid w:val="00821A2E"/>
    <w:rsid w:val="00821E21"/>
    <w:rsid w:val="008222DF"/>
    <w:rsid w:val="00822951"/>
    <w:rsid w:val="00823B75"/>
    <w:rsid w:val="00823B92"/>
    <w:rsid w:val="00824F0E"/>
    <w:rsid w:val="008259E4"/>
    <w:rsid w:val="00826EED"/>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7F6E"/>
    <w:rsid w:val="00861374"/>
    <w:rsid w:val="008619CE"/>
    <w:rsid w:val="00862B66"/>
    <w:rsid w:val="008705E3"/>
    <w:rsid w:val="00870635"/>
    <w:rsid w:val="0087248D"/>
    <w:rsid w:val="00873608"/>
    <w:rsid w:val="00873E3D"/>
    <w:rsid w:val="008750A7"/>
    <w:rsid w:val="008752C0"/>
    <w:rsid w:val="00875BCB"/>
    <w:rsid w:val="00876521"/>
    <w:rsid w:val="00880D07"/>
    <w:rsid w:val="00881537"/>
    <w:rsid w:val="00882C19"/>
    <w:rsid w:val="00883375"/>
    <w:rsid w:val="008838DB"/>
    <w:rsid w:val="0088623E"/>
    <w:rsid w:val="0089074E"/>
    <w:rsid w:val="008909E5"/>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4F8B"/>
    <w:rsid w:val="008B53D0"/>
    <w:rsid w:val="008B707D"/>
    <w:rsid w:val="008B7A75"/>
    <w:rsid w:val="008C1811"/>
    <w:rsid w:val="008C2535"/>
    <w:rsid w:val="008C2751"/>
    <w:rsid w:val="008C471E"/>
    <w:rsid w:val="008C6322"/>
    <w:rsid w:val="008C7047"/>
    <w:rsid w:val="008D050C"/>
    <w:rsid w:val="008D0751"/>
    <w:rsid w:val="008D18A2"/>
    <w:rsid w:val="008D3085"/>
    <w:rsid w:val="008D498E"/>
    <w:rsid w:val="008D4B12"/>
    <w:rsid w:val="008E14AF"/>
    <w:rsid w:val="008E1534"/>
    <w:rsid w:val="008E3D03"/>
    <w:rsid w:val="008E43D1"/>
    <w:rsid w:val="008E48D1"/>
    <w:rsid w:val="008E534F"/>
    <w:rsid w:val="008E56F8"/>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1879"/>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4ABA"/>
    <w:rsid w:val="00947EA6"/>
    <w:rsid w:val="00953180"/>
    <w:rsid w:val="00954311"/>
    <w:rsid w:val="0095587D"/>
    <w:rsid w:val="00956192"/>
    <w:rsid w:val="009561EC"/>
    <w:rsid w:val="00957308"/>
    <w:rsid w:val="00965DE3"/>
    <w:rsid w:val="0096680B"/>
    <w:rsid w:val="0096681C"/>
    <w:rsid w:val="0096697E"/>
    <w:rsid w:val="00966D02"/>
    <w:rsid w:val="009678EA"/>
    <w:rsid w:val="00970361"/>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AB5"/>
    <w:rsid w:val="00987A22"/>
    <w:rsid w:val="00990092"/>
    <w:rsid w:val="00990429"/>
    <w:rsid w:val="0099350E"/>
    <w:rsid w:val="009958DC"/>
    <w:rsid w:val="00996E8E"/>
    <w:rsid w:val="009A06A1"/>
    <w:rsid w:val="009A41E8"/>
    <w:rsid w:val="009A665B"/>
    <w:rsid w:val="009A6CC6"/>
    <w:rsid w:val="009A76F9"/>
    <w:rsid w:val="009B23EA"/>
    <w:rsid w:val="009B3290"/>
    <w:rsid w:val="009B381E"/>
    <w:rsid w:val="009B71DC"/>
    <w:rsid w:val="009C238D"/>
    <w:rsid w:val="009C25D9"/>
    <w:rsid w:val="009C2752"/>
    <w:rsid w:val="009C2B24"/>
    <w:rsid w:val="009C2D1E"/>
    <w:rsid w:val="009C44A4"/>
    <w:rsid w:val="009C5EAE"/>
    <w:rsid w:val="009C6624"/>
    <w:rsid w:val="009C7327"/>
    <w:rsid w:val="009D01AB"/>
    <w:rsid w:val="009D1BA6"/>
    <w:rsid w:val="009D3CE2"/>
    <w:rsid w:val="009D4DAF"/>
    <w:rsid w:val="009D4F3B"/>
    <w:rsid w:val="009D5452"/>
    <w:rsid w:val="009D5A94"/>
    <w:rsid w:val="009D6969"/>
    <w:rsid w:val="009E05B3"/>
    <w:rsid w:val="009E1366"/>
    <w:rsid w:val="009E29C9"/>
    <w:rsid w:val="009E2EC4"/>
    <w:rsid w:val="009E3F6A"/>
    <w:rsid w:val="009E4949"/>
    <w:rsid w:val="009E5884"/>
    <w:rsid w:val="009E58ED"/>
    <w:rsid w:val="009E5BD8"/>
    <w:rsid w:val="009E6374"/>
    <w:rsid w:val="009E63F1"/>
    <w:rsid w:val="009E6591"/>
    <w:rsid w:val="009F03E0"/>
    <w:rsid w:val="009F06B0"/>
    <w:rsid w:val="009F22AF"/>
    <w:rsid w:val="009F2D68"/>
    <w:rsid w:val="009F327C"/>
    <w:rsid w:val="009F366F"/>
    <w:rsid w:val="009F4CAE"/>
    <w:rsid w:val="009F54C3"/>
    <w:rsid w:val="009F799C"/>
    <w:rsid w:val="00A00346"/>
    <w:rsid w:val="00A0637C"/>
    <w:rsid w:val="00A07A20"/>
    <w:rsid w:val="00A112E7"/>
    <w:rsid w:val="00A17529"/>
    <w:rsid w:val="00A17682"/>
    <w:rsid w:val="00A20532"/>
    <w:rsid w:val="00A20814"/>
    <w:rsid w:val="00A20D72"/>
    <w:rsid w:val="00A225D0"/>
    <w:rsid w:val="00A24686"/>
    <w:rsid w:val="00A25593"/>
    <w:rsid w:val="00A27068"/>
    <w:rsid w:val="00A2708A"/>
    <w:rsid w:val="00A33926"/>
    <w:rsid w:val="00A34796"/>
    <w:rsid w:val="00A35590"/>
    <w:rsid w:val="00A401BA"/>
    <w:rsid w:val="00A4290C"/>
    <w:rsid w:val="00A42D45"/>
    <w:rsid w:val="00A42E84"/>
    <w:rsid w:val="00A44D23"/>
    <w:rsid w:val="00A503B1"/>
    <w:rsid w:val="00A52229"/>
    <w:rsid w:val="00A54F6C"/>
    <w:rsid w:val="00A56581"/>
    <w:rsid w:val="00A56AF1"/>
    <w:rsid w:val="00A60FAE"/>
    <w:rsid w:val="00A61B9E"/>
    <w:rsid w:val="00A63839"/>
    <w:rsid w:val="00A6445C"/>
    <w:rsid w:val="00A6751F"/>
    <w:rsid w:val="00A70147"/>
    <w:rsid w:val="00A72DC5"/>
    <w:rsid w:val="00A73ACA"/>
    <w:rsid w:val="00A749BF"/>
    <w:rsid w:val="00A74CC6"/>
    <w:rsid w:val="00A75729"/>
    <w:rsid w:val="00A7580D"/>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FD4"/>
    <w:rsid w:val="00AB0812"/>
    <w:rsid w:val="00AB2920"/>
    <w:rsid w:val="00AB385C"/>
    <w:rsid w:val="00AB5512"/>
    <w:rsid w:val="00AC0A94"/>
    <w:rsid w:val="00AC1A4B"/>
    <w:rsid w:val="00AC3642"/>
    <w:rsid w:val="00AD0126"/>
    <w:rsid w:val="00AD01C2"/>
    <w:rsid w:val="00AD0FCB"/>
    <w:rsid w:val="00AD159C"/>
    <w:rsid w:val="00AD320D"/>
    <w:rsid w:val="00AD4DD2"/>
    <w:rsid w:val="00AE1333"/>
    <w:rsid w:val="00AE6FA7"/>
    <w:rsid w:val="00AE7035"/>
    <w:rsid w:val="00AE7757"/>
    <w:rsid w:val="00AF060E"/>
    <w:rsid w:val="00AF2D42"/>
    <w:rsid w:val="00AF34ED"/>
    <w:rsid w:val="00AF569A"/>
    <w:rsid w:val="00AF572D"/>
    <w:rsid w:val="00AF5EEF"/>
    <w:rsid w:val="00AF79CB"/>
    <w:rsid w:val="00AF7F1E"/>
    <w:rsid w:val="00B012CD"/>
    <w:rsid w:val="00B01639"/>
    <w:rsid w:val="00B03B71"/>
    <w:rsid w:val="00B07D81"/>
    <w:rsid w:val="00B14129"/>
    <w:rsid w:val="00B15C71"/>
    <w:rsid w:val="00B166B5"/>
    <w:rsid w:val="00B174D2"/>
    <w:rsid w:val="00B17777"/>
    <w:rsid w:val="00B2097F"/>
    <w:rsid w:val="00B216CF"/>
    <w:rsid w:val="00B21946"/>
    <w:rsid w:val="00B246B4"/>
    <w:rsid w:val="00B262C8"/>
    <w:rsid w:val="00B26DB6"/>
    <w:rsid w:val="00B3015E"/>
    <w:rsid w:val="00B30D09"/>
    <w:rsid w:val="00B34382"/>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2483"/>
    <w:rsid w:val="00B531AB"/>
    <w:rsid w:val="00B53C34"/>
    <w:rsid w:val="00B651E4"/>
    <w:rsid w:val="00B65791"/>
    <w:rsid w:val="00B667A5"/>
    <w:rsid w:val="00B66A36"/>
    <w:rsid w:val="00B72438"/>
    <w:rsid w:val="00B72BAB"/>
    <w:rsid w:val="00B74559"/>
    <w:rsid w:val="00B76557"/>
    <w:rsid w:val="00B84534"/>
    <w:rsid w:val="00B85489"/>
    <w:rsid w:val="00B87179"/>
    <w:rsid w:val="00B9048A"/>
    <w:rsid w:val="00B906E1"/>
    <w:rsid w:val="00B93B50"/>
    <w:rsid w:val="00B951FF"/>
    <w:rsid w:val="00BA000A"/>
    <w:rsid w:val="00BA0F40"/>
    <w:rsid w:val="00BA118B"/>
    <w:rsid w:val="00BA328B"/>
    <w:rsid w:val="00BA389E"/>
    <w:rsid w:val="00BA3D5F"/>
    <w:rsid w:val="00BA47F0"/>
    <w:rsid w:val="00BA4E0F"/>
    <w:rsid w:val="00BB0782"/>
    <w:rsid w:val="00BB0DE5"/>
    <w:rsid w:val="00BB1C7E"/>
    <w:rsid w:val="00BB2176"/>
    <w:rsid w:val="00BB2E04"/>
    <w:rsid w:val="00BB3000"/>
    <w:rsid w:val="00BB34E3"/>
    <w:rsid w:val="00BB5721"/>
    <w:rsid w:val="00BB60A2"/>
    <w:rsid w:val="00BB69DB"/>
    <w:rsid w:val="00BB6F82"/>
    <w:rsid w:val="00BC2BA2"/>
    <w:rsid w:val="00BC2ED4"/>
    <w:rsid w:val="00BC36B3"/>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7875"/>
    <w:rsid w:val="00BF0642"/>
    <w:rsid w:val="00BF1223"/>
    <w:rsid w:val="00BF1783"/>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31272"/>
    <w:rsid w:val="00C31BB5"/>
    <w:rsid w:val="00C34562"/>
    <w:rsid w:val="00C369F9"/>
    <w:rsid w:val="00C46D56"/>
    <w:rsid w:val="00C47AA5"/>
    <w:rsid w:val="00C51826"/>
    <w:rsid w:val="00C525CD"/>
    <w:rsid w:val="00C52A04"/>
    <w:rsid w:val="00C52F58"/>
    <w:rsid w:val="00C5468F"/>
    <w:rsid w:val="00C551BE"/>
    <w:rsid w:val="00C55F9D"/>
    <w:rsid w:val="00C579D5"/>
    <w:rsid w:val="00C57FF1"/>
    <w:rsid w:val="00C60145"/>
    <w:rsid w:val="00C60414"/>
    <w:rsid w:val="00C60836"/>
    <w:rsid w:val="00C60B49"/>
    <w:rsid w:val="00C61564"/>
    <w:rsid w:val="00C6168E"/>
    <w:rsid w:val="00C62223"/>
    <w:rsid w:val="00C63544"/>
    <w:rsid w:val="00C715BD"/>
    <w:rsid w:val="00C7228F"/>
    <w:rsid w:val="00C76128"/>
    <w:rsid w:val="00C81B1F"/>
    <w:rsid w:val="00C82776"/>
    <w:rsid w:val="00C8303E"/>
    <w:rsid w:val="00C83C7F"/>
    <w:rsid w:val="00C84EC9"/>
    <w:rsid w:val="00C85731"/>
    <w:rsid w:val="00C8685C"/>
    <w:rsid w:val="00C86A4C"/>
    <w:rsid w:val="00C87826"/>
    <w:rsid w:val="00C900B9"/>
    <w:rsid w:val="00C9066A"/>
    <w:rsid w:val="00C90AE0"/>
    <w:rsid w:val="00C924A7"/>
    <w:rsid w:val="00C926AE"/>
    <w:rsid w:val="00C9400D"/>
    <w:rsid w:val="00C9595A"/>
    <w:rsid w:val="00CA0FE5"/>
    <w:rsid w:val="00CA1B3B"/>
    <w:rsid w:val="00CA560E"/>
    <w:rsid w:val="00CA5CC9"/>
    <w:rsid w:val="00CA723F"/>
    <w:rsid w:val="00CB09CE"/>
    <w:rsid w:val="00CB1B1A"/>
    <w:rsid w:val="00CB2A6E"/>
    <w:rsid w:val="00CB6C17"/>
    <w:rsid w:val="00CB7304"/>
    <w:rsid w:val="00CB7478"/>
    <w:rsid w:val="00CB78C4"/>
    <w:rsid w:val="00CC0897"/>
    <w:rsid w:val="00CC1CB4"/>
    <w:rsid w:val="00CC3478"/>
    <w:rsid w:val="00CC6F6C"/>
    <w:rsid w:val="00CC74C7"/>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960"/>
    <w:rsid w:val="00CF2C6A"/>
    <w:rsid w:val="00CF3D93"/>
    <w:rsid w:val="00CF5CDF"/>
    <w:rsid w:val="00CF6DC4"/>
    <w:rsid w:val="00CF76B3"/>
    <w:rsid w:val="00CF77BF"/>
    <w:rsid w:val="00CF7D07"/>
    <w:rsid w:val="00D00BE7"/>
    <w:rsid w:val="00D00E94"/>
    <w:rsid w:val="00D03109"/>
    <w:rsid w:val="00D03A53"/>
    <w:rsid w:val="00D04219"/>
    <w:rsid w:val="00D042B9"/>
    <w:rsid w:val="00D075C8"/>
    <w:rsid w:val="00D100AF"/>
    <w:rsid w:val="00D100F6"/>
    <w:rsid w:val="00D11A4B"/>
    <w:rsid w:val="00D11A5E"/>
    <w:rsid w:val="00D13C5A"/>
    <w:rsid w:val="00D14823"/>
    <w:rsid w:val="00D17BFC"/>
    <w:rsid w:val="00D20302"/>
    <w:rsid w:val="00D21F05"/>
    <w:rsid w:val="00D24521"/>
    <w:rsid w:val="00D250E4"/>
    <w:rsid w:val="00D270E9"/>
    <w:rsid w:val="00D27C6F"/>
    <w:rsid w:val="00D30B66"/>
    <w:rsid w:val="00D31842"/>
    <w:rsid w:val="00D31C14"/>
    <w:rsid w:val="00D32491"/>
    <w:rsid w:val="00D35098"/>
    <w:rsid w:val="00D36F00"/>
    <w:rsid w:val="00D40A25"/>
    <w:rsid w:val="00D42F42"/>
    <w:rsid w:val="00D43767"/>
    <w:rsid w:val="00D4461C"/>
    <w:rsid w:val="00D478F6"/>
    <w:rsid w:val="00D501A1"/>
    <w:rsid w:val="00D52251"/>
    <w:rsid w:val="00D60512"/>
    <w:rsid w:val="00D60B36"/>
    <w:rsid w:val="00D61D54"/>
    <w:rsid w:val="00D63754"/>
    <w:rsid w:val="00D63CCB"/>
    <w:rsid w:val="00D65446"/>
    <w:rsid w:val="00D65E59"/>
    <w:rsid w:val="00D67480"/>
    <w:rsid w:val="00D7055A"/>
    <w:rsid w:val="00D70A75"/>
    <w:rsid w:val="00D716F2"/>
    <w:rsid w:val="00D72A31"/>
    <w:rsid w:val="00D73D1F"/>
    <w:rsid w:val="00D7465B"/>
    <w:rsid w:val="00D76698"/>
    <w:rsid w:val="00D8203D"/>
    <w:rsid w:val="00D85741"/>
    <w:rsid w:val="00D903E2"/>
    <w:rsid w:val="00D9055C"/>
    <w:rsid w:val="00D90A45"/>
    <w:rsid w:val="00D90C50"/>
    <w:rsid w:val="00D92F9F"/>
    <w:rsid w:val="00D93260"/>
    <w:rsid w:val="00D934F0"/>
    <w:rsid w:val="00D94754"/>
    <w:rsid w:val="00D94C5D"/>
    <w:rsid w:val="00D95E2C"/>
    <w:rsid w:val="00D97666"/>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D3CB9"/>
    <w:rsid w:val="00DD50C3"/>
    <w:rsid w:val="00DD55D5"/>
    <w:rsid w:val="00DD590B"/>
    <w:rsid w:val="00DD6D36"/>
    <w:rsid w:val="00DE12BA"/>
    <w:rsid w:val="00DE7345"/>
    <w:rsid w:val="00DF043F"/>
    <w:rsid w:val="00DF253B"/>
    <w:rsid w:val="00DF278B"/>
    <w:rsid w:val="00DF3D29"/>
    <w:rsid w:val="00DF6EFD"/>
    <w:rsid w:val="00DF742C"/>
    <w:rsid w:val="00DF7938"/>
    <w:rsid w:val="00E000E2"/>
    <w:rsid w:val="00E004DB"/>
    <w:rsid w:val="00E005C1"/>
    <w:rsid w:val="00E01B3E"/>
    <w:rsid w:val="00E01C97"/>
    <w:rsid w:val="00E020B4"/>
    <w:rsid w:val="00E028C6"/>
    <w:rsid w:val="00E07299"/>
    <w:rsid w:val="00E10668"/>
    <w:rsid w:val="00E10987"/>
    <w:rsid w:val="00E10E9F"/>
    <w:rsid w:val="00E12162"/>
    <w:rsid w:val="00E1237D"/>
    <w:rsid w:val="00E1246C"/>
    <w:rsid w:val="00E15335"/>
    <w:rsid w:val="00E15FE2"/>
    <w:rsid w:val="00E17A0A"/>
    <w:rsid w:val="00E20973"/>
    <w:rsid w:val="00E20EAD"/>
    <w:rsid w:val="00E2114F"/>
    <w:rsid w:val="00E231B5"/>
    <w:rsid w:val="00E24FE7"/>
    <w:rsid w:val="00E26138"/>
    <w:rsid w:val="00E27D5F"/>
    <w:rsid w:val="00E32F77"/>
    <w:rsid w:val="00E33F31"/>
    <w:rsid w:val="00E37B03"/>
    <w:rsid w:val="00E41838"/>
    <w:rsid w:val="00E429CC"/>
    <w:rsid w:val="00E44A2E"/>
    <w:rsid w:val="00E456B9"/>
    <w:rsid w:val="00E51892"/>
    <w:rsid w:val="00E51C99"/>
    <w:rsid w:val="00E5267F"/>
    <w:rsid w:val="00E52E82"/>
    <w:rsid w:val="00E541DB"/>
    <w:rsid w:val="00E54F18"/>
    <w:rsid w:val="00E60E89"/>
    <w:rsid w:val="00E61936"/>
    <w:rsid w:val="00E62BA0"/>
    <w:rsid w:val="00E64002"/>
    <w:rsid w:val="00E65069"/>
    <w:rsid w:val="00E6615D"/>
    <w:rsid w:val="00E661DA"/>
    <w:rsid w:val="00E666A2"/>
    <w:rsid w:val="00E676F8"/>
    <w:rsid w:val="00E6795C"/>
    <w:rsid w:val="00E70CBD"/>
    <w:rsid w:val="00E70FF3"/>
    <w:rsid w:val="00E723B5"/>
    <w:rsid w:val="00E72D9D"/>
    <w:rsid w:val="00E73A92"/>
    <w:rsid w:val="00E760AA"/>
    <w:rsid w:val="00E775D3"/>
    <w:rsid w:val="00E806D4"/>
    <w:rsid w:val="00E827E8"/>
    <w:rsid w:val="00E832F5"/>
    <w:rsid w:val="00E85FC6"/>
    <w:rsid w:val="00E86D1B"/>
    <w:rsid w:val="00E87DB5"/>
    <w:rsid w:val="00E963FB"/>
    <w:rsid w:val="00E975A8"/>
    <w:rsid w:val="00EA0275"/>
    <w:rsid w:val="00EA1299"/>
    <w:rsid w:val="00EA29A3"/>
    <w:rsid w:val="00EA543D"/>
    <w:rsid w:val="00EA71B1"/>
    <w:rsid w:val="00EB025B"/>
    <w:rsid w:val="00EB198B"/>
    <w:rsid w:val="00EB2240"/>
    <w:rsid w:val="00EB38EF"/>
    <w:rsid w:val="00EB44C1"/>
    <w:rsid w:val="00EC15BB"/>
    <w:rsid w:val="00EC161A"/>
    <w:rsid w:val="00EC4E93"/>
    <w:rsid w:val="00EC6E0D"/>
    <w:rsid w:val="00ED006E"/>
    <w:rsid w:val="00ED0802"/>
    <w:rsid w:val="00ED4506"/>
    <w:rsid w:val="00ED5D29"/>
    <w:rsid w:val="00ED6EE3"/>
    <w:rsid w:val="00ED6F01"/>
    <w:rsid w:val="00EE1F28"/>
    <w:rsid w:val="00EE46DE"/>
    <w:rsid w:val="00EE7541"/>
    <w:rsid w:val="00EE79AE"/>
    <w:rsid w:val="00EF067B"/>
    <w:rsid w:val="00EF0CD0"/>
    <w:rsid w:val="00EF284D"/>
    <w:rsid w:val="00EF2A2C"/>
    <w:rsid w:val="00EF30E5"/>
    <w:rsid w:val="00EF4272"/>
    <w:rsid w:val="00EF5746"/>
    <w:rsid w:val="00EF587D"/>
    <w:rsid w:val="00EF7A51"/>
    <w:rsid w:val="00EF7E66"/>
    <w:rsid w:val="00F0098C"/>
    <w:rsid w:val="00F03628"/>
    <w:rsid w:val="00F040F0"/>
    <w:rsid w:val="00F06D25"/>
    <w:rsid w:val="00F11E9E"/>
    <w:rsid w:val="00F1504E"/>
    <w:rsid w:val="00F1512E"/>
    <w:rsid w:val="00F206EA"/>
    <w:rsid w:val="00F232DE"/>
    <w:rsid w:val="00F24977"/>
    <w:rsid w:val="00F24B2C"/>
    <w:rsid w:val="00F26279"/>
    <w:rsid w:val="00F2705F"/>
    <w:rsid w:val="00F27C6C"/>
    <w:rsid w:val="00F30FCD"/>
    <w:rsid w:val="00F33BDF"/>
    <w:rsid w:val="00F34436"/>
    <w:rsid w:val="00F3755A"/>
    <w:rsid w:val="00F37A62"/>
    <w:rsid w:val="00F4129B"/>
    <w:rsid w:val="00F43AF9"/>
    <w:rsid w:val="00F43F47"/>
    <w:rsid w:val="00F45473"/>
    <w:rsid w:val="00F45A78"/>
    <w:rsid w:val="00F468B8"/>
    <w:rsid w:val="00F470C3"/>
    <w:rsid w:val="00F51A9F"/>
    <w:rsid w:val="00F52D4D"/>
    <w:rsid w:val="00F52E60"/>
    <w:rsid w:val="00F537FA"/>
    <w:rsid w:val="00F543D0"/>
    <w:rsid w:val="00F618F1"/>
    <w:rsid w:val="00F62A1B"/>
    <w:rsid w:val="00F650D3"/>
    <w:rsid w:val="00F6643C"/>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325A"/>
    <w:rsid w:val="00F940A7"/>
    <w:rsid w:val="00F941F9"/>
    <w:rsid w:val="00F943CE"/>
    <w:rsid w:val="00F9478D"/>
    <w:rsid w:val="00F97140"/>
    <w:rsid w:val="00FA062B"/>
    <w:rsid w:val="00FA0D5C"/>
    <w:rsid w:val="00FA1077"/>
    <w:rsid w:val="00FA21AA"/>
    <w:rsid w:val="00FA2645"/>
    <w:rsid w:val="00FA47DC"/>
    <w:rsid w:val="00FA6179"/>
    <w:rsid w:val="00FA66DE"/>
    <w:rsid w:val="00FA6C94"/>
    <w:rsid w:val="00FA7CB6"/>
    <w:rsid w:val="00FB071A"/>
    <w:rsid w:val="00FB1A16"/>
    <w:rsid w:val="00FB1A1C"/>
    <w:rsid w:val="00FB2692"/>
    <w:rsid w:val="00FB45DC"/>
    <w:rsid w:val="00FB5776"/>
    <w:rsid w:val="00FB5FAE"/>
    <w:rsid w:val="00FB676B"/>
    <w:rsid w:val="00FB743A"/>
    <w:rsid w:val="00FB75B2"/>
    <w:rsid w:val="00FB7FC4"/>
    <w:rsid w:val="00FC0303"/>
    <w:rsid w:val="00FC1267"/>
    <w:rsid w:val="00FC28C3"/>
    <w:rsid w:val="00FC430A"/>
    <w:rsid w:val="00FC5120"/>
    <w:rsid w:val="00FC5961"/>
    <w:rsid w:val="00FC5F3D"/>
    <w:rsid w:val="00FD0D95"/>
    <w:rsid w:val="00FD3526"/>
    <w:rsid w:val="00FD44BB"/>
    <w:rsid w:val="00FD5713"/>
    <w:rsid w:val="00FD6CF0"/>
    <w:rsid w:val="00FD7CF9"/>
    <w:rsid w:val="00FE0185"/>
    <w:rsid w:val="00FE0DFF"/>
    <w:rsid w:val="00FE39A9"/>
    <w:rsid w:val="00FE4B86"/>
    <w:rsid w:val="00FE4FC0"/>
    <w:rsid w:val="00FE6A77"/>
    <w:rsid w:val="00FE70EE"/>
    <w:rsid w:val="00FF0E7A"/>
    <w:rsid w:val="00FF1D41"/>
    <w:rsid w:val="00FF2CC0"/>
    <w:rsid w:val="00FF2F4B"/>
    <w:rsid w:val="00FF4EC4"/>
    <w:rsid w:val="00FF587A"/>
    <w:rsid w:val="00FF6DCE"/>
    <w:rsid w:val="00FF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3303E"/>
    <w:pPr>
      <w:spacing w:before="100" w:beforeAutospacing="1" w:after="100" w:afterAutospacing="1"/>
    </w:pPr>
    <w:rPr>
      <w:rFonts w:eastAsiaTheme="minorEastAsia"/>
      <w:lang w:eastAsia="ro-RO"/>
    </w:rPr>
  </w:style>
  <w:style w:type="character" w:styleId="Strong">
    <w:name w:val="Strong"/>
    <w:basedOn w:val="DefaultParagraphFont"/>
    <w:uiPriority w:val="22"/>
    <w:qFormat/>
    <w:rsid w:val="003E628B"/>
    <w:rPr>
      <w:b/>
      <w:bCs/>
    </w:rPr>
  </w:style>
  <w:style w:type="character" w:customStyle="1" w:styleId="muxgbd">
    <w:name w:val="muxgbd"/>
    <w:basedOn w:val="DefaultParagraphFont"/>
    <w:rsid w:val="003E6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90483589">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90300175">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u3domrv/legea-nr-315-2004-privind-dezvoltarea-regionala-in-romania?d=2020-08-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089A0-3C80-4DB9-930E-8CA0F1FE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10</Pages>
  <Words>3193</Words>
  <Characters>18206</Characters>
  <Application>Microsoft Office Word</Application>
  <DocSecurity>0</DocSecurity>
  <Lines>151</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Stegarescu</cp:lastModifiedBy>
  <cp:revision>25</cp:revision>
  <cp:lastPrinted>2022-06-08T08:37:00Z</cp:lastPrinted>
  <dcterms:created xsi:type="dcterms:W3CDTF">2022-06-07T12:17:00Z</dcterms:created>
  <dcterms:modified xsi:type="dcterms:W3CDTF">2022-06-20T16:45:00Z</dcterms:modified>
</cp:coreProperties>
</file>